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2000000">
      <w:pPr>
        <w:pStyle w:val="Style_1"/>
      </w:pPr>
      <w:r>
        <w:t>1929</w:t>
      </w:r>
    </w:p>
    <w:p w14:paraId="03000000">
      <w:r>
        <w:t xml:space="preserve">1928 и 1929 годы стали последними для многих московский церквей. Местные и районные </w:t>
      </w:r>
      <w:r>
        <w:t>Уисполкомы подавали запросы на закрытие и ликвидацию храмов;</w:t>
      </w:r>
      <w:r>
        <w:t xml:space="preserve"> бумаги поступали в Моссовет, который и принимал решение, почти всегда направленное против Церкви, и конечно, председатель президиума Исполкома Моссовета Константин Васильевич Уханов</w:t>
      </w:r>
      <w:r>
        <w:rPr>
          <w:vertAlign w:val="superscript"/>
        </w:rPr>
        <w:footnoteReference w:id="1"/>
      </w:r>
      <w:r>
        <w:rPr>
          <w:vertAlign w:val="superscript"/>
        </w:rPr>
        <w:t xml:space="preserve"> </w:t>
      </w:r>
      <w:r>
        <w:t xml:space="preserve">имел </w:t>
      </w:r>
      <w:r>
        <w:t xml:space="preserve">здесь </w:t>
      </w:r>
      <w:r>
        <w:t xml:space="preserve">решающий голос. </w:t>
      </w:r>
    </w:p>
    <w:p w14:paraId="04000000">
      <w:r>
        <w:t xml:space="preserve">Из сорока сороков Московских храмов в 1928 году закрыто или уничтожено пятьдесят четыре, Моссовет наметил к закрытию или ликвидации еще </w:t>
      </w:r>
      <w:r>
        <w:t xml:space="preserve">сорок. В список предназначенных к разрушению включили и храм сошествия </w:t>
      </w:r>
      <w:r>
        <w:t>Святаго</w:t>
      </w:r>
      <w:r>
        <w:t xml:space="preserve"> Духа, а также и расположенное вокруг него кладбище.</w:t>
      </w:r>
    </w:p>
    <w:p w14:paraId="05000000">
      <w:r>
        <w:t xml:space="preserve">Между тем </w:t>
      </w:r>
      <w:r>
        <w:t>Лазаревский</w:t>
      </w:r>
      <w:r>
        <w:t xml:space="preserve"> приход пополнялся прихожанами из закрывающихся церквей. Здесь ежедневно воссылались молитвы. Пастыри ревностно пасли страждущее и гонимое стадо Христово.</w:t>
      </w:r>
    </w:p>
    <w:p w14:paraId="06000000">
      <w:r>
        <w:t xml:space="preserve">Святой священномученик Иоанн Смирнов собрал вокруг себя обширную паству и замечательных </w:t>
      </w:r>
      <w:r>
        <w:t>сослужителей</w:t>
      </w:r>
      <w:r>
        <w:t xml:space="preserve">. В это время молитвенные </w:t>
      </w:r>
      <w:r>
        <w:t>последования</w:t>
      </w:r>
      <w:r>
        <w:t xml:space="preserve"> совершались: кротким и смиренным о. Алексием </w:t>
      </w:r>
      <w:r>
        <w:t>Сарыевским</w:t>
      </w:r>
      <w:r>
        <w:t>,  опытным деятельным протоиереем Алексием Страховым, священномучеником диаконом Феодором Смирновым</w:t>
      </w:r>
      <w:r>
        <w:rPr>
          <w:vertAlign w:val="superscript"/>
        </w:rPr>
        <w:footnoteReference w:id="2"/>
      </w:r>
      <w:r>
        <w:t>, псаломщиками Порфирием Никитичем Сахаровым</w:t>
      </w:r>
      <w:r>
        <w:rPr>
          <w:vertAlign w:val="superscript"/>
        </w:rPr>
        <w:footnoteReference w:id="3"/>
      </w:r>
      <w:r>
        <w:t>, Давыдовым Константином Николаевичем</w:t>
      </w:r>
      <w:r>
        <w:rPr>
          <w:vertAlign w:val="superscript"/>
        </w:rPr>
        <w:footnoteReference w:id="4"/>
      </w:r>
      <w:r>
        <w:t xml:space="preserve"> и  </w:t>
      </w:r>
      <w:r>
        <w:t>Канардовым</w:t>
      </w:r>
      <w:r>
        <w:t xml:space="preserve"> Иваном Ивановичем</w:t>
      </w:r>
      <w:r>
        <w:rPr>
          <w:vertAlign w:val="superscript"/>
        </w:rPr>
        <w:footnoteReference w:id="5"/>
      </w:r>
      <w:r>
        <w:t xml:space="preserve">. </w:t>
      </w:r>
    </w:p>
    <w:p w14:paraId="07000000">
      <w:r>
        <w:drawing>
          <wp:inline>
            <wp:extent cx="1318260" cy="1905000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1318260" cy="1905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8000000">
      <w:pPr>
        <w:rPr>
          <w:i w:val="1"/>
        </w:rPr>
      </w:pPr>
      <w:r>
        <w:rPr>
          <w:i w:val="1"/>
        </w:rPr>
        <w:t>Прот</w:t>
      </w:r>
      <w:r>
        <w:rPr>
          <w:i w:val="1"/>
        </w:rPr>
        <w:t>. Алексий Алексеевич Страхов</w:t>
      </w:r>
    </w:p>
    <w:p w14:paraId="09000000"/>
    <w:p w14:paraId="0A000000">
      <w:r>
        <w:rPr>
          <w:b w:val="1"/>
        </w:rPr>
        <w:t xml:space="preserve">8 апреля 1929 </w:t>
      </w:r>
      <w:r>
        <w:t xml:space="preserve">года ВЦИК и СНК РСФСР опубликовали постановление «О религиозных объединениях», а 1 октября того же года — инструкцию НКВД «О правах и обязанностях религиозных объединений».  </w:t>
      </w:r>
    </w:p>
    <w:p w14:paraId="0B000000">
      <w:r>
        <w:t>На основании этих распоряжений</w:t>
      </w:r>
      <w:r>
        <w:t xml:space="preserve"> группа прихожан из окрестностей </w:t>
      </w:r>
      <w:r>
        <w:t>храма  подала</w:t>
      </w:r>
      <w:r>
        <w:t xml:space="preserve"> документы в администрацию Краснопресненского района с просьбой перезаключить договор на аренду храма. 31 декабря 1930 </w:t>
      </w:r>
      <w:r>
        <w:t>года на этом документе появилась резолюция начальника милиции Краснопресненского района: «Разрешить»</w:t>
      </w:r>
      <w:r>
        <w:rPr>
          <w:vertAlign w:val="superscript"/>
        </w:rPr>
        <w:footnoteReference w:id="6"/>
      </w:r>
      <w:r>
        <w:t>.</w:t>
      </w:r>
    </w:p>
    <w:p w14:paraId="0C000000">
      <w:r>
        <w:t xml:space="preserve">Тридцать человек безбоязненно поставили подписи на этом прошении. </w:t>
      </w:r>
    </w:p>
    <w:p w14:paraId="0D000000">
      <w:r>
        <w:t xml:space="preserve">Обязанности казначея принял на себя Иван Петрович </w:t>
      </w:r>
      <w:r>
        <w:t>Проворенов</w:t>
      </w:r>
      <w:r>
        <w:t>.</w:t>
      </w:r>
    </w:p>
    <w:p w14:paraId="0E000000">
      <w:r>
        <w:t xml:space="preserve">Тем временем в Моссовете приступили к рассмотрению списка храмов, подлежащих полной ликвидации. В мае судьбу </w:t>
      </w:r>
      <w:r>
        <w:t>Духосошественской</w:t>
      </w:r>
      <w:r>
        <w:t xml:space="preserve"> церкви вручили товарищу Козлову, который и наметил ее к сломке. Однако Козлов уехал в долгую командировку, оставив вопрос до конца не решенным</w:t>
      </w:r>
      <w:r>
        <w:rPr>
          <w:vertAlign w:val="superscript"/>
        </w:rPr>
        <w:footnoteReference w:id="7"/>
      </w:r>
      <w:r>
        <w:t xml:space="preserve">. </w:t>
      </w:r>
    </w:p>
    <w:p w14:paraId="0F000000">
      <w:r>
        <w:t>Ничего не зная об этом, причт храма на Лазаревском кладбище не только продолжал ревностное служение, но даже и увеличивался. Окрестные жители приходили сюда на молитву целыми семьями.</w:t>
      </w:r>
    </w:p>
    <w:p w14:paraId="10000000">
      <w:pPr>
        <w:pStyle w:val="Style_1"/>
      </w:pPr>
      <w:r>
        <w:t>1930</w:t>
      </w:r>
    </w:p>
    <w:p w14:paraId="11000000">
      <w:r>
        <w:t xml:space="preserve">В начале января 1930 года, на следующий день после Рождества Христова, административный отдел </w:t>
      </w:r>
      <w:r>
        <w:t>Мосгубисполкома</w:t>
      </w:r>
      <w:r>
        <w:t xml:space="preserve"> выдал разрешение «группе верующих при церковно-приходском Совете церкви на Лазаревском кладбище на устройство общего собрания в здании культа 21 января сего года, в 8 часов, со следующей повесткой дня: Перевыборы Приходского Церковного Совета»</w:t>
      </w:r>
      <w:r>
        <w:rPr>
          <w:vertAlign w:val="superscript"/>
        </w:rPr>
        <w:footnoteReference w:id="8"/>
      </w:r>
      <w:r>
        <w:t xml:space="preserve">. </w:t>
      </w:r>
    </w:p>
    <w:p w14:paraId="12000000">
      <w:r>
        <w:rPr>
          <w:b w:val="1"/>
        </w:rPr>
        <w:t>21 января 1930</w:t>
      </w:r>
      <w:r>
        <w:t xml:space="preserve"> года прошло собрание ста тридцати прихожан, председателем которого единогласно выбрали действующего настоятеля, будущего священномученика Ивана Михайловича Смирнова. </w:t>
      </w:r>
    </w:p>
    <w:p w14:paraId="13000000">
      <w:r>
        <w:t xml:space="preserve">Члены «исполнительного органа» также выбраны единогласно: Седов Алексей Иванович, </w:t>
      </w:r>
      <w:r>
        <w:t>Проворенов</w:t>
      </w:r>
      <w:r>
        <w:t xml:space="preserve"> Сергей Павлович, Иринин Сергей Павлович, Воеводина Надежда </w:t>
      </w:r>
      <w:r>
        <w:t>Феодоровна</w:t>
      </w:r>
      <w:r>
        <w:rPr>
          <w:rStyle w:val="Style_2_ch"/>
        </w:rPr>
        <w:footnoteReference w:id="9"/>
      </w:r>
      <w:r>
        <w:t>. Вечная память этим ревнителям Православия, в годы гонений открыто исповедавшим веру.</w:t>
      </w:r>
    </w:p>
    <w:p w14:paraId="14000000">
      <w:r>
        <w:drawing>
          <wp:inline>
            <wp:extent cx="2964180" cy="3992880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2964180" cy="399288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5000000">
      <w:pPr>
        <w:rPr>
          <w:i w:val="1"/>
        </w:rPr>
      </w:pPr>
      <w:r>
        <w:rPr>
          <w:i w:val="1"/>
        </w:rPr>
        <w:t>Святой священномученик диакон Гавриил (Архангельский)</w:t>
      </w:r>
      <w:r>
        <w:rPr>
          <w:i w:val="1"/>
        </w:rPr>
        <w:t>. Икона</w:t>
      </w:r>
    </w:p>
    <w:p w14:paraId="16000000">
      <w:r>
        <w:t xml:space="preserve">Для украшения богослужений на том же собрании решено пригласить в причт будущего </w:t>
      </w:r>
      <w:r>
        <w:t>новомученика</w:t>
      </w:r>
      <w:r>
        <w:t xml:space="preserve">, сорокапятилетнего </w:t>
      </w:r>
      <w:r>
        <w:rPr>
          <w:b w:val="1"/>
        </w:rPr>
        <w:t>диакона, Гавриила Николаевича Архангельского</w:t>
      </w:r>
      <w:r>
        <w:t xml:space="preserve">. </w:t>
      </w:r>
    </w:p>
    <w:p w14:paraId="17000000">
      <w:r>
        <w:t xml:space="preserve">О. Гавриил родился в семье псаломщика села Архангельского Волоколамского уезда Николая Георгиевича Архангельского и его супруги </w:t>
      </w:r>
      <w:r>
        <w:rPr>
          <w:rFonts w:ascii="Sylfaen" w:hAnsi="Sylfaen"/>
        </w:rPr>
        <w:t>Надежды Николаевны</w:t>
      </w:r>
      <w:r>
        <w:t xml:space="preserve">. Сыновья Александр, </w:t>
      </w:r>
      <w:r>
        <w:t xml:space="preserve">Гавриил, </w:t>
      </w:r>
      <w:r>
        <w:t>Михаил,</w:t>
      </w:r>
      <w:r>
        <w:t xml:space="preserve"> видя </w:t>
      </w:r>
      <w:r>
        <w:t xml:space="preserve">в отце образ </w:t>
      </w:r>
      <w:r>
        <w:t>благоговейн</w:t>
      </w:r>
      <w:r>
        <w:t>ого</w:t>
      </w:r>
      <w:r>
        <w:t xml:space="preserve"> тщательно</w:t>
      </w:r>
      <w:r>
        <w:t>го</w:t>
      </w:r>
      <w:r>
        <w:t xml:space="preserve"> исполнени</w:t>
      </w:r>
      <w:r>
        <w:t>я</w:t>
      </w:r>
      <w:r>
        <w:t xml:space="preserve"> церковн</w:t>
      </w:r>
      <w:r>
        <w:t>о-</w:t>
      </w:r>
      <w:r>
        <w:t>служения</w:t>
      </w:r>
      <w:r>
        <w:t>, также пожелали стать псаломщиками.</w:t>
      </w:r>
    </w:p>
    <w:p w14:paraId="18000000">
      <w:r>
        <w:t>Жизнь во благо</w:t>
      </w:r>
      <w:r>
        <w:t xml:space="preserve"> Церкви Христовой избрал и Гавриил. 8 декабря 1906 года епархиальное начальство назначило его исправляющим должность псаломщика при Петропавловской, что при речке </w:t>
      </w:r>
      <w:r>
        <w:t>Клязьме</w:t>
      </w:r>
      <w:r>
        <w:t>, церкви</w:t>
      </w:r>
      <w:r>
        <w:rPr>
          <w:vertAlign w:val="superscript"/>
        </w:rPr>
        <w:footnoteReference w:id="10"/>
      </w:r>
      <w:r>
        <w:t>.  Через три года он перемещен на вакансию псаломщика в Архангельский храм родного села.</w:t>
      </w:r>
      <w:r>
        <w:rPr>
          <w:vertAlign w:val="superscript"/>
        </w:rPr>
        <w:footnoteReference w:id="11"/>
      </w:r>
    </w:p>
    <w:p w14:paraId="19000000">
      <w:r>
        <w:t xml:space="preserve">Вскоре ревностного псаломщика заметило священноначалие, и его назначили туда, где требовались милосердие, тщательность и усердие, — в домовый храм святых Апостолов Петра и Павла при </w:t>
      </w:r>
      <w:r>
        <w:t xml:space="preserve">Мариинской больнице для бедных. Так </w:t>
      </w:r>
      <w:r>
        <w:t xml:space="preserve">псаломщик </w:t>
      </w:r>
      <w:r>
        <w:t xml:space="preserve">Гавриил </w:t>
      </w:r>
      <w:r>
        <w:t xml:space="preserve">Архангельский </w:t>
      </w:r>
      <w:r>
        <w:t xml:space="preserve">оказался в Сретенском благочинии, неподалеку от Лазаревского кладбища. </w:t>
      </w:r>
    </w:p>
    <w:p w14:paraId="1A000000">
      <w:r>
        <w:t xml:space="preserve">Домовая церковь свв. Петра и Павла находилась внутри здания лечебницы, в центральной части. Она была задумана как ее «сердце», так как по слову основательницы учреждения, Государыни Императрицы Марии, «милосердное </w:t>
      </w:r>
      <w:r>
        <w:t>служение  болящим</w:t>
      </w:r>
      <w:r>
        <w:t xml:space="preserve"> должно иметь подлинно духовную основу». Помещение обладало превосходной акустикой: даже те больные, что лежали в палатах и не могли прийти к службе, имели возможность внимать словам богослужения. </w:t>
      </w:r>
    </w:p>
    <w:p w14:paraId="1B000000">
      <w:r>
        <w:t xml:space="preserve">Когда-то в той же больнице служил отец Ф. М. Достоевского, а сам Федор Михайлович родился и крещен именно здесь. </w:t>
      </w:r>
    </w:p>
    <w:p w14:paraId="1C000000">
      <w:r>
        <w:drawing>
          <wp:inline>
            <wp:extent cx="3048000" cy="2849880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3048000" cy="284988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D000000">
      <w:pPr>
        <w:rPr>
          <w:i w:val="1"/>
        </w:rPr>
      </w:pPr>
      <w:r>
        <w:rPr>
          <w:i w:val="1"/>
        </w:rPr>
        <w:t>Мариинская больница для бедных в Москве</w:t>
      </w:r>
      <w:r>
        <w:rPr>
          <w:i w:val="1"/>
        </w:rPr>
        <w:t>. Фото ХХ в.</w:t>
      </w:r>
    </w:p>
    <w:p w14:paraId="1E000000">
      <w:r>
        <w:t>Больница для бедных в Москве была основана по распоряжению Императрицы Марии Федоровны в 1803 году. Служителей в новом учреждении она желала «по возможности стараться приискивать надежных и прилежных», а потому просила приложить «особливое старание к выбору хороших, честных и добропорядочного поведения людей»</w:t>
      </w:r>
      <w:r>
        <w:rPr>
          <w:vertAlign w:val="superscript"/>
        </w:rPr>
        <w:footnoteReference w:id="12"/>
      </w:r>
      <w:r>
        <w:t xml:space="preserve">. Тогда же был задуман и храм, причем Императрица лично распоряжалась, где и как расположить его, прося «из комнат подле </w:t>
      </w:r>
      <w:r>
        <w:t>церкви сделать полукруглые окошки от пола в такой вышине, чтобы стоящие в покоях больные могли видеть церковь»</w:t>
      </w:r>
      <w:r>
        <w:rPr>
          <w:vertAlign w:val="superscript"/>
        </w:rPr>
        <w:footnoteReference w:id="13"/>
      </w:r>
      <w:r>
        <w:t xml:space="preserve">.  </w:t>
      </w:r>
    </w:p>
    <w:p w14:paraId="1F000000">
      <w:r>
        <w:t>Многие годы</w:t>
      </w:r>
      <w:r>
        <w:t xml:space="preserve"> голос</w:t>
      </w:r>
      <w:r>
        <w:t xml:space="preserve"> псаломщика Гавриила Архангельского разносился по коридорам лечебницы, утешая отверженных и скорбящих.</w:t>
      </w:r>
    </w:p>
    <w:p w14:paraId="20000000">
      <w:r>
        <w:drawing>
          <wp:inline>
            <wp:extent cx="4541520" cy="3413759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4541520" cy="341375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1000000">
      <w:pPr>
        <w:rPr>
          <w:i w:val="1"/>
        </w:rPr>
      </w:pPr>
      <w:r>
        <w:rPr>
          <w:i w:val="1"/>
        </w:rPr>
        <w:t>Домовая церковь Мариинской больницы для бедных</w:t>
      </w:r>
      <w:r>
        <w:rPr>
          <w:i w:val="1"/>
        </w:rPr>
        <w:t>. Фото наших дней</w:t>
      </w:r>
    </w:p>
    <w:p w14:paraId="22000000">
      <w:r>
        <w:t xml:space="preserve">Больница находилась недалеко от Лазаревского кладбища, и настоятель </w:t>
      </w:r>
      <w:r>
        <w:t>Духосошественской</w:t>
      </w:r>
      <w:r>
        <w:t xml:space="preserve"> церкви, а также благочинный Сретенского сорока о. Владимир Остроухов хорошо знал причт больничного храма: священника Александра Померанцева, диакона Владимира </w:t>
      </w:r>
      <w:r>
        <w:t>Закатова</w:t>
      </w:r>
      <w:r>
        <w:t>, псаломщика, затем и диакона, Гавриила Архангельского.</w:t>
      </w:r>
    </w:p>
    <w:p w14:paraId="23000000">
      <w:r>
        <w:t xml:space="preserve"> Часто после отпевания причт Петропавловского храма сопровождал покойного к месту погребения, ближайшему Лазаревскому кладбищу или другим: </w:t>
      </w:r>
      <w:r>
        <w:t>Миусскому</w:t>
      </w:r>
      <w:r>
        <w:t>, Ваганьковскому, Пятницкому</w:t>
      </w:r>
      <w:r>
        <w:rPr>
          <w:vertAlign w:val="superscript"/>
        </w:rPr>
        <w:footnoteReference w:id="14"/>
      </w:r>
      <w:r>
        <w:t xml:space="preserve">. </w:t>
      </w:r>
    </w:p>
    <w:p w14:paraId="24000000">
      <w:r>
        <w:t>Прослужив на одном месте с 1911 по 1915 годы</w:t>
      </w:r>
      <w:r>
        <w:rPr>
          <w:vertAlign w:val="superscript"/>
        </w:rPr>
        <w:footnoteReference w:id="15"/>
      </w:r>
      <w:r>
        <w:t xml:space="preserve">, Гавриил Николаевич Архангельский наконец обрел и спутницу жизни. Выбор его пал на Надежду Анисимовну </w:t>
      </w:r>
      <w:r>
        <w:t>Корешкову</w:t>
      </w:r>
      <w:r>
        <w:t xml:space="preserve">, крестьянскую девицу деревни </w:t>
      </w:r>
      <w:r>
        <w:t>Миголощь</w:t>
      </w:r>
      <w:r>
        <w:t xml:space="preserve"> Тверской губернии. Невеста была младше жениха на семь лет. </w:t>
      </w:r>
    </w:p>
    <w:p w14:paraId="25000000">
      <w:r>
        <w:t>Венчание совершилось 5 июля 1915 года, в Богородице-Рождественской, при Ремесленной богадельне, церкви</w:t>
      </w:r>
      <w:r>
        <w:rPr>
          <w:vertAlign w:val="superscript"/>
        </w:rPr>
        <w:footnoteReference w:id="16"/>
      </w:r>
      <w:r>
        <w:t>. Младший брат Гавриила, Михаил Николаевич Архангельский, стал поручителем при совершенном таинстве</w:t>
      </w:r>
      <w:r>
        <w:rPr>
          <w:vertAlign w:val="superscript"/>
        </w:rPr>
        <w:footnoteReference w:id="17"/>
      </w:r>
      <w:r>
        <w:t>.</w:t>
      </w:r>
    </w:p>
    <w:p w14:paraId="26000000">
      <w:r>
        <w:t xml:space="preserve">Вскоре после свадьбы Гавриил принял рукоположение и стал служить в том же домовом храме Мариинской больницы для бедных, но уже в </w:t>
      </w:r>
      <w:r>
        <w:t>диаконском</w:t>
      </w:r>
      <w:r>
        <w:t xml:space="preserve"> сане.</w:t>
      </w:r>
    </w:p>
    <w:p w14:paraId="27000000">
      <w:r>
        <w:t xml:space="preserve">С 1918 года о. диакон Гавриил перешел на служение к Московской </w:t>
      </w:r>
      <w:r>
        <w:t>Николо</w:t>
      </w:r>
      <w:r>
        <w:t xml:space="preserve">-Ваганьковской церкви, что на Красной Пресне. С 1919 по 1921 год состоял учителем по ликвидации безграмотности в команде выздоравливающих при 2-м Московском полковом округе. С 1921 по 1927 годы был артистом-певцом Московской государственной Академической капеллы. С 14 июня 1930 года принят диаконом в </w:t>
      </w:r>
      <w:r>
        <w:t>Духосошественскую</w:t>
      </w:r>
      <w:r>
        <w:t xml:space="preserve"> церковь на Лазаревском кладбище. В это время отец Гавриил с супругой, дочерью Верой и двумя сыновьями жил на Красной Пресне, 4-й Звенигородской улице, д. 67</w:t>
      </w:r>
      <w:r>
        <w:rPr>
          <w:rStyle w:val="Style_2_ch"/>
        </w:rPr>
        <w:footnoteReference w:id="18"/>
      </w:r>
      <w:r>
        <w:t>.</w:t>
      </w:r>
    </w:p>
    <w:p w14:paraId="28000000">
      <w:r>
        <w:drawing>
          <wp:inline>
            <wp:extent cx="5579744" cy="5769714"/>
            <wp:effectExtent b="0" l="0" r="0" 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5579744" cy="576971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9000000">
      <w:pPr>
        <w:rPr>
          <w:i w:val="1"/>
        </w:rPr>
      </w:pPr>
      <w:r>
        <w:rPr>
          <w:i w:val="1"/>
        </w:rPr>
        <w:t>Автограф-анкета святого священномученика Гавриила Архангельского. ЦГАМО.  Ф. 4570. Оп. 1. Д. 13. Л. 20.</w:t>
      </w:r>
    </w:p>
    <w:p w14:paraId="2A000000">
      <w:r>
        <w:t xml:space="preserve">Духовная жизнь в храме в эти годы была оживленной. Товарищ Козлов все медлил с решением о ликвидации кладбища и церкви на нем, а службы все продолжались, приход пополнялся верующими. </w:t>
      </w:r>
    </w:p>
    <w:p w14:paraId="2B000000">
      <w:r>
        <w:t xml:space="preserve">Тем временем работники «органов» кропотливо собирали материалы. Следствие по одному из групповых дел на ревностных православных христиан Москвы, большей частью — изгнанных из обителей монашествующих, епископов, их родных, </w:t>
      </w:r>
      <w:r>
        <w:t>завершилось  выдачей</w:t>
      </w:r>
      <w:r>
        <w:t xml:space="preserve"> многих ордеров на арест и последующим осуждением на ссылку.</w:t>
      </w:r>
    </w:p>
    <w:p w14:paraId="2C000000">
      <w:r>
        <w:rPr>
          <w:b w:val="1"/>
        </w:rPr>
        <w:t>29 декабря 1930</w:t>
      </w:r>
      <w:r>
        <w:t xml:space="preserve"> года взята под стражу и уборщица храма, в прошлом — </w:t>
      </w:r>
      <w:r>
        <w:rPr>
          <w:b w:val="1"/>
        </w:rPr>
        <w:t xml:space="preserve">послушница </w:t>
      </w:r>
      <w:r>
        <w:rPr>
          <w:b w:val="1"/>
        </w:rPr>
        <w:t>Хотьковского</w:t>
      </w:r>
      <w:r>
        <w:rPr>
          <w:b w:val="1"/>
        </w:rPr>
        <w:t xml:space="preserve"> монастыря, Екатерина Чуйкова</w:t>
      </w:r>
      <w:r>
        <w:t xml:space="preserve">. Она </w:t>
      </w:r>
      <w:r>
        <w:t>«проходила» под одному из групповых следственных дел, как и все «фигуранты», обвинялась в антисоветской агитации.</w:t>
      </w:r>
    </w:p>
    <w:p w14:paraId="2D000000">
      <w:r>
        <w:t xml:space="preserve">Вместе с ней арестованы и осуждены: сестра архиепископа </w:t>
      </w:r>
      <w:r>
        <w:t>Вассиана</w:t>
      </w:r>
      <w:r>
        <w:t xml:space="preserve"> (Пятницкого) Антонина Васильевна Усова, иеромонах Новоспасского монастыря Владимир (</w:t>
      </w:r>
      <w:r>
        <w:t>Колобовников</w:t>
      </w:r>
      <w:r>
        <w:t xml:space="preserve">), </w:t>
      </w:r>
      <w:r>
        <w:t>схиархимандрит</w:t>
      </w:r>
      <w:r>
        <w:t xml:space="preserve"> Чудова монастыря, духовник </w:t>
      </w:r>
      <w:r>
        <w:t>Аносина</w:t>
      </w:r>
      <w:r>
        <w:t xml:space="preserve"> монастыря Алексий (</w:t>
      </w:r>
      <w:r>
        <w:t>Волчан</w:t>
      </w:r>
      <w:r>
        <w:t>), архимандрит Дорофей (Рябинкин) и многие другие.</w:t>
      </w:r>
    </w:p>
    <w:p w14:paraId="2E000000"/>
    <w:p w14:paraId="2F000000">
      <w:r>
        <w:drawing>
          <wp:inline>
            <wp:extent cx="2469095" cy="1905166"/>
            <wp:effectExtent b="0" l="0" r="0" t="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2469095" cy="190516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0000000">
      <w:pPr>
        <w:pStyle w:val="Style_1"/>
      </w:pPr>
      <w:r>
        <w:t>1931</w:t>
      </w:r>
    </w:p>
    <w:p w14:paraId="31000000">
      <w:r>
        <w:rPr>
          <w:b w:val="1"/>
        </w:rPr>
        <w:t>3 января 1931</w:t>
      </w:r>
      <w:r>
        <w:t xml:space="preserve"> года Особым Совещанием при Коллегии ОГПУ СССР уборщица </w:t>
      </w:r>
      <w:r>
        <w:t>Духосошественской</w:t>
      </w:r>
      <w:r>
        <w:t xml:space="preserve"> церкви на Лазаревском кладбище, послушница Екатерина Андреевна Чуйкова, ожидавшая решения о себе в Бутырской тюрьме г. Москвы, приговорена к трем годам высылки в Северный край. </w:t>
      </w:r>
    </w:p>
    <w:p w14:paraId="32000000">
      <w:r>
        <w:t xml:space="preserve">На момент осуждения ей исполнилось 45 лет.  Матушку перевезли в Архангельск, затем этапом отправили в </w:t>
      </w:r>
      <w:r>
        <w:t>Пинежский</w:t>
      </w:r>
      <w:r>
        <w:t xml:space="preserve"> район Северного края</w:t>
      </w:r>
      <w:r>
        <w:rPr>
          <w:vertAlign w:val="superscript"/>
        </w:rPr>
        <w:footnoteReference w:id="19"/>
      </w:r>
      <w:r>
        <w:t>.</w:t>
      </w:r>
    </w:p>
    <w:p w14:paraId="33000000">
      <w:r>
        <w:t>Именно Северный край на время стал духовным центром России, ведь здесь находилось множество будущих священномучеников, мучеников и исповедников.</w:t>
      </w:r>
    </w:p>
    <w:p w14:paraId="34000000">
      <w:r>
        <w:t xml:space="preserve">Еще в конце 1929 года в Архангельск доставили группу ссыльных, среди которых находились епископы, иеромонахи, священники. Здесь, в городе, они встретились с теми, кто прибыл ранее, кто обвинялся по другим статьям: «раскулаченными», «переселенцами из южных </w:t>
      </w:r>
      <w:r>
        <w:t xml:space="preserve">областей». В самом Архангельске места для всех этих бедствующих скитальцев не оставалось, и их стали отправлять дальше на север, в Холмогорский, </w:t>
      </w:r>
      <w:r>
        <w:t>Пинежский</w:t>
      </w:r>
      <w:r>
        <w:t xml:space="preserve"> районы, на Соловки.</w:t>
      </w:r>
    </w:p>
    <w:p w14:paraId="35000000">
      <w:r>
        <w:t>По рассказам ссыльных, их довозили до Архангельска, там «выгружали, формировали колонну по пять человек в ряд, отводили в пересыльный пункт»</w:t>
      </w:r>
      <w:r>
        <w:rPr>
          <w:vertAlign w:val="superscript"/>
        </w:rPr>
        <w:footnoteReference w:id="20"/>
      </w:r>
      <w:r>
        <w:t xml:space="preserve">.  От Архангельска до Пинеги — более 200 километров. Этот путь предстояло пройти пешком, от села к селу. Стояли февральские морозы... </w:t>
      </w:r>
    </w:p>
    <w:p w14:paraId="36000000">
      <w:r>
        <w:t xml:space="preserve">Большинство из прибывших в Пинегу ссыльных были монахинями из различных монастырей. Жительница д. </w:t>
      </w:r>
      <w:r>
        <w:t>Валдокурье</w:t>
      </w:r>
      <w:r>
        <w:t xml:space="preserve"> К. И. Лапина вспоминала, что монашки жили в деревне у ее свекрови. «Жили худо, голодно, ели грибы, которые здесь, в этих краях, считаются поганками. Но посылки с едой получали. Не очень старые, все платочками повязаны»</w:t>
      </w:r>
      <w:r>
        <w:rPr>
          <w:vertAlign w:val="superscript"/>
        </w:rPr>
        <w:footnoteReference w:id="21"/>
      </w:r>
      <w:r>
        <w:t xml:space="preserve">. </w:t>
      </w:r>
    </w:p>
    <w:p w14:paraId="37000000">
      <w:r>
        <w:t xml:space="preserve">Но как ни горька </w:t>
      </w:r>
      <w:r>
        <w:t>была  жизнь</w:t>
      </w:r>
      <w:r>
        <w:t xml:space="preserve"> в Пинеге, однако и здесь удавалось найти отраду и укрепление в  совете с опытными духовниками, высланными в ту же местность. Так, в окрестностях, деревнях Вонге и </w:t>
      </w:r>
      <w:r>
        <w:t>Воепала</w:t>
      </w:r>
      <w:r>
        <w:t xml:space="preserve"> отбывал ссылку </w:t>
      </w:r>
      <w:r>
        <w:t>прписп</w:t>
      </w:r>
      <w:r>
        <w:t>. Никон (Беляев). На Боровых озерах жили архимандрит Никита (</w:t>
      </w:r>
      <w:r>
        <w:t>Курочкин</w:t>
      </w:r>
      <w:r>
        <w:t xml:space="preserve">) и его друг и брат во Христе иеромонах Зосима (Нилов), в прошлом — насельники </w:t>
      </w:r>
      <w:r>
        <w:t>Зосимовой</w:t>
      </w:r>
      <w:r>
        <w:t xml:space="preserve"> Пустыни и Высоко-Петровского монастыря.</w:t>
      </w:r>
    </w:p>
    <w:p w14:paraId="38000000">
      <w:r>
        <w:t>Три года в терпении холода и голода, поношений и многих скорбей предстояли теперь послушнице Екатерине.</w:t>
      </w:r>
    </w:p>
    <w:p w14:paraId="39000000">
      <w:r>
        <w:t>***</w:t>
      </w:r>
    </w:p>
    <w:p w14:paraId="3A000000">
      <w:r>
        <w:t xml:space="preserve">В начале 1931 года община </w:t>
      </w:r>
      <w:r>
        <w:t>Духосошественского</w:t>
      </w:r>
      <w:r>
        <w:t xml:space="preserve"> храма Москвы подала местный Дзержинский </w:t>
      </w:r>
      <w:r>
        <w:t>Уисполком</w:t>
      </w:r>
      <w:r>
        <w:t xml:space="preserve"> анкеты церковнослужителей, список верующих и другие документы. Все, кто внес имена в список, прекрасно понимали опасность, которая им грозила, но смело поставили свои подписи и адреса. Всего в этом списке 1670 человек.</w:t>
      </w:r>
    </w:p>
    <w:p w14:paraId="3B000000">
      <w:r>
        <w:drawing>
          <wp:inline>
            <wp:extent cx="5579745" cy="7380604"/>
            <wp:effectExtent b="0" l="0" r="0" t="0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5579745" cy="738060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C000000">
      <w:pPr>
        <w:rPr>
          <w:i w:val="1"/>
        </w:rPr>
      </w:pPr>
      <w:r>
        <w:rPr>
          <w:i w:val="1"/>
        </w:rPr>
        <w:t>Первая страница списка прихожан храма сошествия Святаго Духа на Лазаревском кладбище. 1931 г. //ЦГАМО. Ф. 4570. Оп. 1. Д. 13. Л. 61.</w:t>
      </w:r>
    </w:p>
    <w:p w14:paraId="3D000000">
      <w:r>
        <w:t xml:space="preserve">В том же 1931 году преставился ко Господу </w:t>
      </w:r>
      <w:r>
        <w:t>псаломщик  Иван</w:t>
      </w:r>
      <w:r>
        <w:t xml:space="preserve"> Иванович </w:t>
      </w:r>
      <w:r>
        <w:t>Канардов</w:t>
      </w:r>
      <w:r>
        <w:t xml:space="preserve">, старший брат священномученика Петра Ивановича </w:t>
      </w:r>
      <w:r>
        <w:t>Канардова</w:t>
      </w:r>
      <w:r>
        <w:t>.</w:t>
      </w:r>
    </w:p>
    <w:p w14:paraId="3E000000">
      <w:pPr>
        <w:pStyle w:val="Style_1"/>
        <w:spacing w:after="100" w:before="100"/>
        <w:ind/>
      </w:pPr>
      <w:r>
        <w:t>1932</w:t>
      </w:r>
    </w:p>
    <w:p w14:paraId="3F000000">
      <w:r>
        <w:t>Шло время, а судьба храма еще не была решена. Видя это, местный Дзержинский Райсовет проявил инициативу. На заседании</w:t>
      </w:r>
      <w:r>
        <w:t>, проведенном</w:t>
      </w:r>
      <w:r>
        <w:t xml:space="preserve"> 26 января</w:t>
      </w:r>
      <w:r>
        <w:t xml:space="preserve"> 1932 года,</w:t>
      </w:r>
      <w:r>
        <w:t xml:space="preserve"> заслушали «вопрос о закрытии церкви «</w:t>
      </w:r>
      <w:r>
        <w:t>Духосошествия</w:t>
      </w:r>
      <w:r>
        <w:t>» на Лазаревском кладбище</w:t>
      </w:r>
      <w:r>
        <w:t>»</w:t>
      </w:r>
      <w:r>
        <w:t>.</w:t>
      </w:r>
    </w:p>
    <w:p w14:paraId="40000000">
      <w:r>
        <w:t>Постановление звучало так: «</w:t>
      </w:r>
      <w:r>
        <w:t xml:space="preserve">В связи с закрытием Лазаревского кладбища и передачей этого участка под строительство второго Московского крематория, считать необходимым закрыть находящуюся на территории кладбища </w:t>
      </w:r>
      <w:r>
        <w:t>Лазаревскую</w:t>
      </w:r>
      <w:r>
        <w:t xml:space="preserve"> церковь с передачей ее под колумбарий. Просить Моссовет утвердить настоящее постановление»</w:t>
      </w:r>
      <w:r>
        <w:rPr>
          <w:vertAlign w:val="superscript"/>
        </w:rPr>
        <w:footnoteReference w:id="22"/>
      </w:r>
      <w:r>
        <w:t xml:space="preserve">. </w:t>
      </w:r>
    </w:p>
    <w:p w14:paraId="41000000">
      <w:r>
        <w:t xml:space="preserve">Уже через две </w:t>
      </w:r>
      <w:r>
        <w:t>недели, 9 февраля 1932 года</w:t>
      </w:r>
      <w:r>
        <w:t xml:space="preserve">, </w:t>
      </w:r>
      <w:r>
        <w:t xml:space="preserve">вопрос о храме внесен в повестку дня заседания Моссовета. На нем и </w:t>
      </w:r>
      <w:r>
        <w:t>одобрено  решение</w:t>
      </w:r>
      <w:r>
        <w:t xml:space="preserve">: закрыть и ликвидировать </w:t>
      </w:r>
      <w:r>
        <w:t>Духосошественск</w:t>
      </w:r>
      <w:r>
        <w:t>ую</w:t>
      </w:r>
      <w:r>
        <w:t xml:space="preserve"> церк</w:t>
      </w:r>
      <w:r>
        <w:t>овь</w:t>
      </w:r>
      <w:r>
        <w:t>.</w:t>
      </w:r>
    </w:p>
    <w:p w14:paraId="42000000">
      <w:r>
        <w:t>«Принимая во внимание, — говорилось в заключении, —  что участок земли на Лазаревском кладбище подлежит застройке 2-м Московским крематорием, группа верующих может быть переведена в ближайшую церковь Нечаянной Радости в Марьиной Роще (расстояние менее 2 километра), руководствуясь постановлением ВЦИК и СНК РСФСР от 8 апреля 1929 г.</w:t>
      </w:r>
      <w:r>
        <w:rPr>
          <w:vertAlign w:val="superscript"/>
        </w:rPr>
        <w:footnoteReference w:id="23"/>
      </w:r>
      <w:r>
        <w:t xml:space="preserve"> – указанную церковь закрыть, а здание ее снести. </w:t>
      </w:r>
    </w:p>
    <w:p w14:paraId="43000000">
      <w:r>
        <w:t>С предметами культа поступить согласно того же постановления ВЦИК от 8 апреля 1929 г.</w:t>
      </w:r>
      <w:r>
        <w:t xml:space="preserve"> </w:t>
      </w:r>
      <w:r>
        <w:t>»</w:t>
      </w:r>
      <w:r>
        <w:rPr>
          <w:vertAlign w:val="superscript"/>
        </w:rPr>
        <w:footnoteReference w:id="24"/>
      </w:r>
      <w:r>
        <w:t xml:space="preserve"> </w:t>
      </w:r>
      <w:r>
        <w:t>.</w:t>
      </w:r>
    </w:p>
    <w:p w14:paraId="44000000"/>
    <w:p w14:paraId="45000000">
      <w:r>
        <w:t>Пятого марта</w:t>
      </w:r>
      <w:r>
        <w:t xml:space="preserve"> 1932 года</w:t>
      </w:r>
      <w:r>
        <w:t xml:space="preserve"> ВЦИК утвердил это </w:t>
      </w:r>
      <w:r>
        <w:t>постановление</w:t>
      </w:r>
      <w:r>
        <w:t xml:space="preserve"> и оно вступило в законную силу. По человеческому рассуждению оставалась единственная возможность сохранить храм</w:t>
      </w:r>
      <w:r>
        <w:t xml:space="preserve"> — надежда на сопротивление искусствоведов, ведь в одном из документов говорилось</w:t>
      </w:r>
      <w:r>
        <w:t xml:space="preserve">: «Переоборудование церкви, как с внешней, а так и с внутренней стороны должно быть согласовано с сектором науки </w:t>
      </w:r>
      <w:r>
        <w:t>Наркомпроса</w:t>
      </w:r>
      <w:r>
        <w:t>»</w:t>
      </w:r>
      <w:r>
        <w:rPr>
          <w:vertAlign w:val="superscript"/>
        </w:rPr>
        <w:footnoteReference w:id="25"/>
      </w:r>
      <w:r>
        <w:t>.</w:t>
      </w:r>
    </w:p>
    <w:p w14:paraId="46000000">
      <w:r>
        <w:t xml:space="preserve">Уже </w:t>
      </w:r>
      <w:r>
        <w:t xml:space="preserve">10 марта в </w:t>
      </w:r>
      <w:r>
        <w:t xml:space="preserve">местный </w:t>
      </w:r>
      <w:r>
        <w:t xml:space="preserve">Дзержинский </w:t>
      </w:r>
      <w:r>
        <w:t>Уисполком</w:t>
      </w:r>
      <w:r>
        <w:t xml:space="preserve"> в ответ на инициативное письмо вернулось </w:t>
      </w:r>
      <w:r>
        <w:t xml:space="preserve">предписание: «В Дзержинский район </w:t>
      </w:r>
      <w:r>
        <w:rPr>
          <w:b w:val="1"/>
        </w:rPr>
        <w:t xml:space="preserve">— </w:t>
      </w:r>
      <w:r>
        <w:t>ВЦИК, комиссия по вопросам культов. Прилагая при сем ходатайство Моссовета, Президиум Мособлисполкома ходатайствует о разрешении срочно сломать закрытую церковь на Лазаревском кладбище, вследствие невозможности по Архитектурно-Планировочным условиям … и строительным требованиям, а также условия</w:t>
      </w:r>
      <w:r>
        <w:t>м</w:t>
      </w:r>
      <w:r>
        <w:t>, коим должен удовлетворять въезд в Крематорий (до 60-ти органи</w:t>
      </w:r>
      <w:r>
        <w:t>з</w:t>
      </w:r>
      <w:r>
        <w:t xml:space="preserve">аций) без нарушения уличного движения по центральным магистралям людского и </w:t>
      </w:r>
      <w:r>
        <w:t>авто-грузового</w:t>
      </w:r>
      <w:r>
        <w:t xml:space="preserve"> движения прилегающие непосредственно к участку 2-го крематория...</w:t>
      </w:r>
      <w:r>
        <w:rPr>
          <w:b w:val="1"/>
        </w:rPr>
        <w:t>»</w:t>
      </w:r>
    </w:p>
    <w:p w14:paraId="47000000">
      <w:r>
        <w:t>В</w:t>
      </w:r>
      <w:r>
        <w:t>сего ч</w:t>
      </w:r>
      <w:r>
        <w:t>ерез неделю получен</w:t>
      </w:r>
      <w:r>
        <w:t xml:space="preserve"> новый, четко сформулированный приказ</w:t>
      </w:r>
      <w:r>
        <w:t xml:space="preserve"> о том, что</w:t>
      </w:r>
      <w:r>
        <w:t xml:space="preserve"> необходимо и срочно нужно </w:t>
      </w:r>
      <w:r>
        <w:t xml:space="preserve">стереть храм с лица земли: «16 марта 1932 года. Президиум ВЦИК — прокурору республики, Московскому облисполкому, </w:t>
      </w:r>
      <w:r>
        <w:t>Джержинскому</w:t>
      </w:r>
      <w:r>
        <w:t xml:space="preserve"> исполкому.</w:t>
      </w:r>
    </w:p>
    <w:p w14:paraId="48000000">
      <w:r>
        <w:t>[</w:t>
      </w:r>
      <w:r>
        <w:t>…</w:t>
      </w:r>
      <w:r>
        <w:t xml:space="preserve">] </w:t>
      </w:r>
      <w:r>
        <w:t>Слушали: Постановление президиума Московского облисполкома о ликвидации церкви на Лазаревском кладбище в г. Москве</w:t>
      </w:r>
      <w:r>
        <w:t xml:space="preserve"> [</w:t>
      </w:r>
      <w:r>
        <w:t>…</w:t>
      </w:r>
      <w:r>
        <w:t>]</w:t>
      </w:r>
      <w:r>
        <w:t>.</w:t>
      </w:r>
    </w:p>
    <w:p w14:paraId="49000000">
      <w:r>
        <w:t>Постановили: Постановление президиума Московского облисполкома утвердить, указанную церковь ликвидировать.</w:t>
      </w:r>
    </w:p>
    <w:p w14:paraId="4A000000">
      <w:r>
        <w:t>Секретарь ВЦИК А. Киселев»</w:t>
      </w:r>
      <w:r>
        <w:rPr>
          <w:vertAlign w:val="superscript"/>
        </w:rPr>
        <w:footnoteReference w:id="26"/>
      </w:r>
      <w:r>
        <w:t>.</w:t>
      </w:r>
    </w:p>
    <w:p w14:paraId="4B000000">
      <w:r>
        <w:t>***</w:t>
      </w:r>
    </w:p>
    <w:p w14:paraId="4C000000">
      <w:r>
        <w:t xml:space="preserve">В одно из весенних Воскресений начала 1932 года, между 16 марта и </w:t>
      </w:r>
      <w:r>
        <w:t>9 июля,</w:t>
      </w:r>
      <w:r>
        <w:t xml:space="preserve"> храм окружила милиция. </w:t>
      </w:r>
    </w:p>
    <w:p w14:paraId="4D000000">
      <w:r>
        <w:t xml:space="preserve">Милиционеры вошли в </w:t>
      </w:r>
      <w:r>
        <w:t>большой, благоустроенный храм, простор которого сквозь огромные окна так часто заливал солнечный свет, и приступили к его разорению.</w:t>
      </w:r>
    </w:p>
    <w:p w14:paraId="4E000000">
      <w:r>
        <w:t>По действующей инструкции все предметы снимали со своих мест, осматривали, складывали в четыре кучи: а) драгоценные — их надлежало передать в Народный комиссариат просвещения, б) исторические — туда же, отдельным списком, в) церковные — для передачи местным финансовым органам, и д) такие как свечи, дрова и уголь — чтобы отдать верующим.</w:t>
      </w:r>
    </w:p>
    <w:p w14:paraId="4F000000">
      <w:r>
        <w:t>Так ч</w:t>
      </w:r>
      <w:r>
        <w:t>асть декора иконостаса попала в музей архитектуры им. Щусева, где хранится по сей день.</w:t>
      </w:r>
    </w:p>
    <w:p w14:paraId="50000000">
      <w:pPr>
        <w:rPr>
          <w:i w:val="1"/>
        </w:rPr>
      </w:pPr>
      <w:r>
        <w:rPr>
          <w:i w:val="1"/>
        </w:rPr>
        <w:t xml:space="preserve">Фото: часть убранства храма Духа </w:t>
      </w:r>
      <w:r>
        <w:rPr>
          <w:i w:val="1"/>
        </w:rPr>
        <w:t>Святаго</w:t>
      </w:r>
      <w:r>
        <w:rPr>
          <w:i w:val="1"/>
        </w:rPr>
        <w:t xml:space="preserve"> сошествия на Лазаревском кладбище. Хранится в музее архитектуры им. Щусева.</w:t>
      </w:r>
    </w:p>
    <w:p w14:paraId="51000000">
      <w:r>
        <w:t>Полторы тысячи прихожан остались без дома Божьего, где молились годами и десятилетиями. Причт храма рассеялся по другим храмам, кто куда.</w:t>
      </w:r>
    </w:p>
    <w:p w14:paraId="52000000">
      <w:r>
        <w:t xml:space="preserve">Кладбище должно было быть перенесено, но на деле </w:t>
      </w:r>
      <w:r>
        <w:t xml:space="preserve">здесь </w:t>
      </w:r>
      <w:r>
        <w:t>просто вырыли памятники и кресты и увезли в неизвестном направлении… Позже человеческие останки на прилегавшем к храму</w:t>
      </w:r>
      <w:r>
        <w:t xml:space="preserve"> большом участке, стали выходить на поверхность из-под земли. По воспоминаниям старожилов, дети играли черепами в футбол.</w:t>
      </w:r>
    </w:p>
    <w:p w14:paraId="53000000">
      <w:r>
        <w:t>Кладбище так и осталось под Сущевским валом, «Планетой КВН», спорткомплексом «Олимпийский». И, конечно, под парком «Фестивальный», где и в наше время играют детишки.</w:t>
      </w:r>
    </w:p>
    <w:p w14:paraId="54000000">
      <w:r>
        <w:t>***</w:t>
      </w:r>
    </w:p>
    <w:p w14:paraId="55000000">
      <w:r>
        <w:t xml:space="preserve">16 апреля 1932 года, Великим Постом, в субботу Похвалы Пресвятой Богородицы, арестован прот. Алексий Алексеевич Страхов. За ним пришли </w:t>
      </w:r>
      <w:r>
        <w:t xml:space="preserve">на квартиру, рядом с которой жили другие отцы храма, в дом 2/11-2 по 2-му Лазаревскому переулку. </w:t>
      </w:r>
    </w:p>
    <w:p w14:paraId="56000000">
      <w:r>
        <w:drawing>
          <wp:inline>
            <wp:extent cx="5579745" cy="5834119"/>
            <wp:effectExtent b="0" l="0" r="0" t="0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5579745" cy="583411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7000000">
      <w:pPr>
        <w:rPr>
          <w:i w:val="1"/>
        </w:rPr>
      </w:pPr>
      <w:r>
        <w:rPr>
          <w:i w:val="1"/>
        </w:rPr>
        <w:t xml:space="preserve">Автограф, анкета прот. Алексия Алексеевича Страхова. </w:t>
      </w:r>
      <w:r>
        <w:rPr>
          <w:i w:val="1"/>
        </w:rPr>
        <w:t xml:space="preserve">ЦГАМО. </w:t>
      </w:r>
      <w:r>
        <w:rPr>
          <w:i w:val="1"/>
        </w:rPr>
        <w:t>Ф. 4570. Оп. 1. Д. 13. Л. 34.</w:t>
      </w:r>
    </w:p>
    <w:p w14:paraId="58000000">
      <w:r>
        <w:t>В тот же день произведены аресты священнослужителей и мирян по общему (групповому) делу. О. Алексию, как и всем, вменялась в вину «группировка вокруг церквей г. Москвы, проведение среди церковников антисоветской агитации и распространение всякого рода контрреволюционных провокационных слухов».</w:t>
      </w:r>
    </w:p>
    <w:p w14:paraId="59000000">
      <w:r>
        <w:t>Батюшка не признал своей вины, записав в анкете: «Контрревлюционером никогда не был».</w:t>
      </w:r>
    </w:p>
    <w:p w14:paraId="5A000000">
      <w:r>
        <w:t>Следствие началось задолго до ареста. В материалах цитируются слова из проповеди о. Алексия: «Мы сейчас плохо живем, потому что не верим в Христа. Я призываю верующих к усиленному молению относительно безбожия и только тогда Бог простит блудников». Кто-то из слышавших эти слова, взял на карандаш и предоставил сотрудникам ОГПУ.</w:t>
      </w:r>
    </w:p>
    <w:p w14:paraId="5B000000">
      <w:r>
        <w:t xml:space="preserve">Обвинили о. Алексия и «в организации широко разветвленной сети по сбору денег и продуктов для оказания помощи ссыльному духовенству», что батюшка подтвердил на следствии: «Действительно, я оказывал помощь сосланным священникам и монахиням». </w:t>
      </w:r>
    </w:p>
    <w:p w14:paraId="5C000000">
      <w:r>
        <w:t>10 мая состоялось особое совещание при Коллегии ОГПУ, на котором решалась участь священника. Приговор гласил: «3 года лишения права проживания в 12 пунктах СССР, с прикреплением к определенному месту жительства, считая срок с 15. 04. 1932 г.».</w:t>
      </w:r>
    </w:p>
    <w:p w14:paraId="5D000000">
      <w:r>
        <w:t>Отец Алексий вынужден был  оставить Духосошественскую церковь и перебраться в г. Рыбинск Ярославской области</w:t>
      </w:r>
      <w:r>
        <w:rPr>
          <w:vertAlign w:val="superscript"/>
        </w:rPr>
        <w:footnoteReference w:id="27"/>
      </w:r>
      <w:r>
        <w:t>.</w:t>
      </w:r>
    </w:p>
    <w:p w14:paraId="5E000000">
      <w:r>
        <w:t>***</w:t>
      </w:r>
    </w:p>
    <w:p w14:paraId="5F000000">
      <w:r>
        <w:t xml:space="preserve">К началу июля 1932 года, когда все </w:t>
      </w:r>
      <w:r>
        <w:t xml:space="preserve">храмовое </w:t>
      </w:r>
      <w:r>
        <w:t>имущество пристроили, снова возник вопрос о ликвидации здания храма.</w:t>
      </w:r>
    </w:p>
    <w:p w14:paraId="60000000">
      <w:r>
        <w:t xml:space="preserve">Сектор Науки </w:t>
      </w:r>
      <w:r>
        <w:t>Наркомпроса</w:t>
      </w:r>
      <w:r>
        <w:t xml:space="preserve"> решительно возражал против сноса, но комиссия по вопросам культов настояла на своем. </w:t>
      </w:r>
    </w:p>
    <w:p w14:paraId="61000000">
      <w:pPr>
        <w:rPr>
          <w:b w:val="1"/>
        </w:rPr>
      </w:pPr>
      <w:r>
        <w:rPr>
          <w:b w:val="1"/>
        </w:rPr>
        <w:t>«</w:t>
      </w:r>
      <w:r>
        <w:rPr>
          <w:b w:val="1"/>
        </w:rPr>
        <w:t>9 июля 1932 года</w:t>
      </w:r>
      <w:r>
        <w:rPr>
          <w:b w:val="1"/>
        </w:rPr>
        <w:t>.</w:t>
      </w:r>
    </w:p>
    <w:p w14:paraId="62000000">
      <w:r>
        <w:t>РСФСР. Президиум Московского городского исполнительного Комитета и Московского Совета РК и КД</w:t>
      </w:r>
      <w:r>
        <w:t xml:space="preserve">, </w:t>
      </w:r>
      <w:r>
        <w:t>Мосболисполком</w:t>
      </w:r>
      <w:r>
        <w:t xml:space="preserve"> комиссия по вопросам культов:</w:t>
      </w:r>
    </w:p>
    <w:p w14:paraId="63000000">
      <w:r>
        <w:t>Согласно требования Архитектурно-Планировочного Управления Мособлисполкома здание 2-го Московского Крематория (Центральный Городской) должно быть установлено на месте существующей закрытой церкви ликвидированного Лазаревского кладбища: Архитек</w:t>
      </w:r>
      <w:r>
        <w:t>т</w:t>
      </w:r>
      <w:r>
        <w:t xml:space="preserve">урно-художественное оформление участка, невозможность правильной установки здания Крематория на другом месте участка </w:t>
      </w:r>
      <w:r>
        <w:t>ликвидир</w:t>
      </w:r>
      <w:r>
        <w:t xml:space="preserve">. кладбища, несмотря на возражение о сносе быв. церкви со стороны Сектора Науки </w:t>
      </w:r>
      <w:r>
        <w:t>Наркомпроса</w:t>
      </w:r>
      <w:r>
        <w:t xml:space="preserve">, </w:t>
      </w:r>
      <w:r>
        <w:rPr>
          <w:b w:val="1"/>
        </w:rPr>
        <w:t>требуется безотлагательный снос указанной церкви</w:t>
      </w:r>
      <w:r>
        <w:t xml:space="preserve">, т. к. задержка в сносе этого задания срывает начало строительства 2-го Крематория. </w:t>
      </w:r>
    </w:p>
    <w:p w14:paraId="64000000">
      <w:r>
        <w:t>Вследствие вышеизложенных причин Президиум Моссовета просит срочного разрешения сломки закрытой церкви на ликвидированном Лазаревского кладбища</w:t>
      </w:r>
      <w:r>
        <w:t>»</w:t>
      </w:r>
      <w:r>
        <w:t>.</w:t>
      </w:r>
    </w:p>
    <w:p w14:paraId="65000000">
      <w:r>
        <w:drawing>
          <wp:inline>
            <wp:extent cx="3718559" cy="5311140"/>
            <wp:effectExtent b="0" l="0" r="0" t="0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10"/>
                    <a:stretch/>
                  </pic:blipFill>
                  <pic:spPr>
                    <a:xfrm flipH="false" flipV="false" rot="0">
                      <a:ext cx="3718559" cy="531114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6000000">
      <w:pPr>
        <w:rPr>
          <w:i w:val="1"/>
        </w:rPr>
      </w:pPr>
      <w:r>
        <w:rPr>
          <w:i w:val="1"/>
        </w:rPr>
        <w:t>Храм сошествия Святаго Духа и кладбище до разорения. Фото 1932 г.</w:t>
      </w:r>
    </w:p>
    <w:p w14:paraId="67000000">
      <w:r>
        <w:rPr>
          <w:b w:val="1"/>
        </w:rPr>
        <w:t>«</w:t>
      </w:r>
      <w:r>
        <w:t>9 августа 1932 г.</w:t>
      </w:r>
    </w:p>
    <w:p w14:paraId="68000000">
      <w:r>
        <w:t xml:space="preserve">Президиум Всероссийского центрального исполнительного комитета советов </w:t>
      </w:r>
      <w:r>
        <w:t>—</w:t>
      </w:r>
      <w:r>
        <w:t xml:space="preserve"> Прокурору республики, </w:t>
      </w:r>
      <w:r>
        <w:t>НКПрос</w:t>
      </w:r>
      <w:r>
        <w:t>, Мособлисполком</w:t>
      </w:r>
    </w:p>
    <w:p w14:paraId="69000000">
      <w:r>
        <w:t>Выписка из протокола заседания № 53 от 1 августа 1932 г.</w:t>
      </w:r>
    </w:p>
    <w:p w14:paraId="6A000000">
      <w:r>
        <w:t xml:space="preserve">Слушали: Ходатайство президиума Мособлисполкома о сносе здания быв. </w:t>
      </w:r>
      <w:r>
        <w:t>Духосошественской</w:t>
      </w:r>
      <w:r>
        <w:t xml:space="preserve"> церкви, на Лазаревском кладбище</w:t>
      </w:r>
      <w:r>
        <w:t xml:space="preserve"> в г. Москве (</w:t>
      </w:r>
      <w:r>
        <w:t>Вн</w:t>
      </w:r>
      <w:r>
        <w:t xml:space="preserve">. Комиссией). Д. </w:t>
      </w:r>
      <w:r>
        <w:t>№ 35-М.</w:t>
      </w:r>
    </w:p>
    <w:p w14:paraId="6B000000">
      <w:r>
        <w:t xml:space="preserve">Постановили: Ходатайство президиума Мособлисполкома удовлетворить, указанную церковь ликвидировать при условии предоставления Управлением Строительства 2-го крематория и сведений о наличности средств и строительных материалов. </w:t>
      </w:r>
    </w:p>
    <w:p w14:paraId="6C000000">
      <w:r>
        <w:t xml:space="preserve">В виду того, что указанное здание состоит на учете сектора науки </w:t>
      </w:r>
      <w:r>
        <w:t>Главнауки</w:t>
      </w:r>
      <w:r>
        <w:t xml:space="preserve"> по 1-ой категории, о сносе здания уведомить последний.</w:t>
      </w:r>
    </w:p>
    <w:p w14:paraId="6D000000">
      <w:r>
        <w:t>Секретарь ВЦИК А. Киселев</w:t>
      </w:r>
      <w:r>
        <w:t>»</w:t>
      </w:r>
      <w:r>
        <w:rPr>
          <w:rStyle w:val="Style_3_ch"/>
        </w:rPr>
        <w:footnoteReference w:id="28"/>
      </w:r>
    </w:p>
    <w:p w14:paraId="6E000000">
      <w:r>
        <w:t xml:space="preserve">С осени, когда </w:t>
      </w:r>
      <w:r>
        <w:t>в</w:t>
      </w:r>
      <w:r>
        <w:t xml:space="preserve"> строительств</w:t>
      </w:r>
      <w:r>
        <w:t>о</w:t>
      </w:r>
      <w:r>
        <w:t xml:space="preserve"> крематория уже были вовлечены многие организации, занимавшиеся ландшафтными работами, коммуникациями, планированием </w:t>
      </w:r>
      <w:r>
        <w:t>строительства</w:t>
      </w:r>
      <w:r>
        <w:t>, газета «Вечерняя Москва» стала регулярно оповещать горожан о происходящих в деле сдвигах.</w:t>
      </w:r>
    </w:p>
    <w:p w14:paraId="6F000000">
      <w:r>
        <w:t>Так, 11 октября 1932 года</w:t>
      </w:r>
      <w:r>
        <w:t xml:space="preserve"> в этой газете</w:t>
      </w:r>
      <w:r>
        <w:t xml:space="preserve"> появилась заметка: «</w:t>
      </w:r>
      <w:r>
        <w:t>Участок для строительства второго крематория уже отведен на территории Лазаревского кладбища. Вокруг крематория будет разбит большой парк</w:t>
      </w:r>
      <w:r>
        <w:t>»</w:t>
      </w:r>
      <w:r>
        <w:rPr>
          <w:rStyle w:val="Style_3_ch"/>
        </w:rPr>
        <w:footnoteReference w:id="29"/>
      </w:r>
      <w:r>
        <w:t>.</w:t>
      </w:r>
    </w:p>
    <w:p w14:paraId="70000000">
      <w:r>
        <w:t>К исходу года подготовительные работы по строительству крематория шли полным ходом и по всем направлениям.</w:t>
      </w:r>
    </w:p>
    <w:p w14:paraId="71000000">
      <w:r>
        <w:rPr>
          <w:b w:val="1"/>
        </w:rPr>
        <w:t>«</w:t>
      </w:r>
      <w:r>
        <w:rPr>
          <w:b w:val="1"/>
        </w:rPr>
        <w:t>22 декабря 1932 г.</w:t>
      </w:r>
      <w:r>
        <w:rPr>
          <w:b w:val="1"/>
        </w:rPr>
        <w:t>» — писала та же газета, — «</w:t>
      </w:r>
      <w:r>
        <w:t>На б. Лазаревском кладбище</w:t>
      </w:r>
      <w:r>
        <w:t xml:space="preserve">. </w:t>
      </w:r>
      <w:r>
        <w:t xml:space="preserve">Вчера вечером архитектурно-художественный совет при </w:t>
      </w:r>
      <w:r>
        <w:t>Моспроекте</w:t>
      </w:r>
      <w:r>
        <w:t xml:space="preserve"> рассмотрел эскиз здания московского центрального крематория, разработанного архитекторами </w:t>
      </w:r>
      <w:r>
        <w:t>Барщ</w:t>
      </w:r>
      <w:r>
        <w:t xml:space="preserve"> и </w:t>
      </w:r>
      <w:r>
        <w:t>Зундблат</w:t>
      </w:r>
      <w:r>
        <w:t>.</w:t>
      </w:r>
    </w:p>
    <w:p w14:paraId="72000000">
      <w:r>
        <w:t>Эскиз одобрен и в основном утвержден советом.</w:t>
      </w:r>
    </w:p>
    <w:p w14:paraId="73000000">
      <w:r>
        <w:t xml:space="preserve">Крематорий, по эскизу </w:t>
      </w:r>
      <w:r>
        <w:t>Барща</w:t>
      </w:r>
      <w:r>
        <w:t xml:space="preserve"> и </w:t>
      </w:r>
      <w:r>
        <w:t>Зундблата</w:t>
      </w:r>
      <w:r>
        <w:t>, имеет вид большого железобетонного дворца с высоким — до 30 метров — цилиндрическим залом площадью 300 кв. метров.</w:t>
      </w:r>
    </w:p>
    <w:p w14:paraId="74000000">
      <w:r>
        <w:t>Перед входом в крематорий — большая лестничная терраса, по бокам — два открытых помещения — колумбария (место для хранения урн), красиво оформленные колоннами, два малых крытых зала по 100 кв. м. и два небольших зала для ожидания.</w:t>
      </w:r>
    </w:p>
    <w:p w14:paraId="75000000">
      <w:r>
        <w:t xml:space="preserve">Центральное место крематория — большой цилиндрический зал, который выше остальной постройки и имеет красивое архитектурное оформление. </w:t>
      </w:r>
    </w:p>
    <w:p w14:paraId="76000000">
      <w:r>
        <w:t>...</w:t>
      </w:r>
      <w:r>
        <w:t xml:space="preserve">  </w:t>
      </w:r>
      <w:r>
        <w:t>Новый центральный крематорий будет выстроен на территории бывшего Лазаревского кладбища.</w:t>
      </w:r>
      <w:r>
        <w:t xml:space="preserve"> </w:t>
      </w:r>
      <w:r>
        <w:t>Эскиз на днях поступит на окончательное утверждение Моссовета</w:t>
      </w:r>
      <w:r>
        <w:t>»</w:t>
      </w:r>
      <w:r>
        <w:rPr>
          <w:rStyle w:val="Style_3_ch"/>
        </w:rPr>
        <w:footnoteReference w:id="30"/>
      </w:r>
      <w:r>
        <w:t>.</w:t>
      </w:r>
    </w:p>
    <w:p w14:paraId="77000000">
      <w:r>
        <w:drawing>
          <wp:inline>
            <wp:extent cx="3870959" cy="5311140"/>
            <wp:effectExtent b="0" l="0" r="0" t="0"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11"/>
                    <a:stretch/>
                  </pic:blipFill>
                  <pic:spPr>
                    <a:xfrm flipH="false" flipV="false" rot="0">
                      <a:ext cx="3870959" cy="531114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8000000">
      <w:pPr>
        <w:rPr>
          <w:i w:val="1"/>
        </w:rPr>
      </w:pPr>
      <w:r>
        <w:rPr>
          <w:i w:val="1"/>
        </w:rPr>
        <w:t>Разоренные могилы</w:t>
      </w:r>
      <w:r>
        <w:rPr>
          <w:i w:val="1"/>
        </w:rPr>
        <w:t>, х</w:t>
      </w:r>
      <w:r>
        <w:rPr>
          <w:i w:val="1"/>
        </w:rPr>
        <w:t>рам Духосошествия со сбитыми  крестами на колокольнях. Фото 1932 г.</w:t>
      </w:r>
    </w:p>
    <w:p w14:paraId="79000000"/>
    <w:p w14:paraId="7A000000">
      <w:r>
        <w:t>Уходящий</w:t>
      </w:r>
      <w:r>
        <w:t xml:space="preserve"> 1932 год стал</w:t>
      </w:r>
      <w:r>
        <w:t xml:space="preserve"> сложным для Церкви, потерявшей множество приходов.  За 365 дней Президиум Моссовета </w:t>
      </w:r>
      <w:r>
        <w:t xml:space="preserve">рассмотрел 147 дел о закрытии храмов в Москве и Московской области, и у него не было планов сокращать количество подобных </w:t>
      </w:r>
      <w:r>
        <w:t>решений</w:t>
      </w:r>
      <w:r>
        <w:rPr>
          <w:rStyle w:val="Style_3_ch"/>
        </w:rPr>
        <w:footnoteReference w:id="31"/>
      </w:r>
      <w:r>
        <w:t xml:space="preserve">. </w:t>
      </w:r>
    </w:p>
    <w:p w14:paraId="7B000000">
      <w:r>
        <w:t xml:space="preserve">Запущенную машину </w:t>
      </w:r>
      <w:r>
        <w:t xml:space="preserve">даже замедлить было бы </w:t>
      </w:r>
      <w:r>
        <w:t xml:space="preserve">трудно. Следующий год обещал стать последним для </w:t>
      </w:r>
      <w:r>
        <w:t>Духосошественского</w:t>
      </w:r>
      <w:r>
        <w:t xml:space="preserve"> храма.</w:t>
      </w:r>
    </w:p>
    <w:p w14:paraId="7C000000">
      <w:r>
        <w:t>Требовались обстоятельства непреодолимой силы, вмешательство Промысла Божия, чтобы остановить маховик</w:t>
      </w:r>
      <w:r>
        <w:t xml:space="preserve"> развернувшихся работ</w:t>
      </w:r>
      <w:r>
        <w:t>.</w:t>
      </w:r>
    </w:p>
    <w:p w14:paraId="7D000000"/>
    <w:p w14:paraId="7E000000">
      <w:r>
        <w:drawing>
          <wp:inline>
            <wp:extent cx="4983480" cy="3185160"/>
            <wp:effectExtent b="0" l="0" r="0" t="0"/>
            <wp:docPr hidden="false" id="22" name="Picture 22"/>
            <a:graphic>
              <a:graphicData uri="http://schemas.openxmlformats.org/drawingml/2006/picture">
                <pic:pic>
                  <pic:nvPicPr>
                    <pic:cNvPr hidden="false" id="21" name="Picture 21"/>
                    <pic:cNvPicPr preferRelativeResize="true"/>
                  </pic:nvPicPr>
                  <pic:blipFill>
                    <a:blip r:embed="rId12"/>
                    <a:stretch/>
                  </pic:blipFill>
                  <pic:spPr>
                    <a:xfrm flipH="false" flipV="false" rot="0">
                      <a:ext cx="4983480" cy="318516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F000000"/>
    <w:p w14:paraId="80000000">
      <w:pPr>
        <w:pStyle w:val="Style_4"/>
        <w:rPr>
          <w:i w:val="1"/>
        </w:rPr>
      </w:pPr>
      <w:r>
        <w:rPr>
          <w:i w:val="1"/>
        </w:rPr>
        <w:t>Ожидается продолжение...</w:t>
      </w:r>
    </w:p>
    <w:sectPr>
      <w:footerReference r:id="rId1" w:type="default"/>
      <w:pgSz w:h="16838" w:orient="portrait" w:w="11906"/>
      <w:pgMar w:bottom="1134" w:footer="708" w:gutter="0" w:header="708" w:left="1701" w:right="1418" w:top="1134"/>
      <w:pgNumType w:start="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1000000"/>
</w:ftr>
</file>

<file path=word/footnotes.xml><?xml version="1.0" encoding="utf-8"?>
<w:footnot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footnote w:id="-1" w:type="separator">
    <w:p>
      <w:r>
        <w:separator/>
      </w:r>
    </w:p>
  </w:footnote>
  <w:footnote w:id="0" w:type="continuationSeparator">
    <w:p>
      <w:r>
        <w:continuationSeparator/>
      </w:r>
    </w:p>
  </w:footnote>
  <w:footnote w:id="1">
    <w:p w14:paraId="81000000">
      <w:pPr>
        <w:pStyle w:val="Style_29"/>
      </w:pPr>
      <w:r>
        <w:rPr>
          <w:vertAlign w:val="superscript"/>
        </w:rPr>
        <w:footnoteRef/>
      </w:r>
      <w:r>
        <w:t xml:space="preserve"> Уханов, Константин Васильевич. </w:t>
      </w:r>
      <w:r>
        <w:t xml:space="preserve">(1891 — 1937) — советский государственный и партийный деятель. С 17 мая 1926 по 23 сентября 1929 — председатель исполкома Московского совета рабочих, крестьянских и красноармейских депутатов. С 23 сентября 1929 по 28 февраля 1931 — председатель исполкома Московского областного совета рабочих и крестьянских депутатов. Руководил хозяйством столицы в заключительный период НЭПа и в начале индустриализации страны. </w:t>
      </w:r>
      <w:r>
        <w:t xml:space="preserve"> В 1937 году расстрелян по обвинению в контрреволюционной деятельности. </w:t>
      </w:r>
    </w:p>
  </w:footnote>
  <w:footnote w:id="2">
    <w:p w14:paraId="82000000">
      <w:pPr>
        <w:pStyle w:val="Style_29"/>
      </w:pPr>
      <w:r>
        <w:rPr>
          <w:vertAlign w:val="superscript"/>
        </w:rPr>
        <w:footnoteRef/>
      </w:r>
      <w:r>
        <w:t xml:space="preserve"> Начал служение в нашем храме с 1917 года. </w:t>
      </w:r>
    </w:p>
  </w:footnote>
  <w:footnote w:id="3">
    <w:p w14:paraId="83000000">
      <w:pPr>
        <w:pStyle w:val="Style_29"/>
      </w:pPr>
      <w:r>
        <w:rPr>
          <w:vertAlign w:val="superscript"/>
        </w:rPr>
        <w:footnoteRef/>
      </w:r>
      <w:r>
        <w:t xml:space="preserve"> Сахаров Порфирий Никитич (1971 — 1931). С 1914 по 1916 — псаломщик с. Парышева Коломенского уезда, с 1916 по 1919 — псаломщик Московской Благовещенской на Бережках церкви, с 1919 по 1931 годы —  псаломщик храма сошествия </w:t>
      </w:r>
      <w:r>
        <w:t>Святаго</w:t>
      </w:r>
      <w:r>
        <w:t xml:space="preserve"> Духа на Лазаревском кладбище.</w:t>
      </w:r>
    </w:p>
  </w:footnote>
  <w:footnote w:id="4">
    <w:p w14:paraId="84000000">
      <w:pPr>
        <w:pStyle w:val="Style_29"/>
      </w:pPr>
      <w:r>
        <w:rPr>
          <w:vertAlign w:val="superscript"/>
        </w:rPr>
        <w:footnoteRef/>
      </w:r>
      <w:r>
        <w:t xml:space="preserve"> С 1923 года.</w:t>
      </w:r>
    </w:p>
  </w:footnote>
  <w:footnote w:id="5">
    <w:p w14:paraId="85000000">
      <w:pPr>
        <w:pStyle w:val="Style_29"/>
      </w:pPr>
      <w:r>
        <w:rPr>
          <w:vertAlign w:val="superscript"/>
        </w:rPr>
        <w:footnoteRef/>
      </w:r>
      <w:r>
        <w:t xml:space="preserve"> С 1924 года.</w:t>
      </w:r>
    </w:p>
  </w:footnote>
  <w:footnote w:id="6">
    <w:p w14:paraId="86000000">
      <w:pPr>
        <w:pStyle w:val="Style_29"/>
      </w:pPr>
      <w:r>
        <w:rPr>
          <w:vertAlign w:val="superscript"/>
        </w:rPr>
        <w:footnoteRef/>
      </w:r>
      <w:r>
        <w:t xml:space="preserve"> ЦГАМО. Ф. 4570 Оп. 1 Д. 13. Л. 1.</w:t>
      </w:r>
    </w:p>
  </w:footnote>
  <w:footnote w:id="7">
    <w:p w14:paraId="87000000">
      <w:pPr>
        <w:pStyle w:val="Style_29"/>
      </w:pPr>
      <w:r>
        <w:rPr>
          <w:vertAlign w:val="superscript"/>
        </w:rPr>
        <w:footnoteRef/>
      </w:r>
      <w:r>
        <w:t xml:space="preserve"> ЦГАМО. Ф. 2157 Оп. 1 Д. 220. Л. 11.</w:t>
      </w:r>
    </w:p>
  </w:footnote>
  <w:footnote w:id="8">
    <w:p w14:paraId="88000000">
      <w:pPr>
        <w:pStyle w:val="Style_29"/>
      </w:pPr>
      <w:r>
        <w:rPr>
          <w:vertAlign w:val="superscript"/>
        </w:rPr>
        <w:footnoteRef/>
      </w:r>
      <w:r>
        <w:t xml:space="preserve"> Ф. 4570 Оп. 1 Д. 12. Л. 19.</w:t>
      </w:r>
    </w:p>
  </w:footnote>
  <w:footnote w:id="9">
    <w:p w14:paraId="89000000">
      <w:pPr>
        <w:pStyle w:val="Style_29"/>
      </w:pPr>
      <w:r>
        <w:rPr>
          <w:vertAlign w:val="superscript"/>
        </w:rPr>
        <w:footnoteRef/>
      </w:r>
      <w:r>
        <w:t xml:space="preserve"> ЦГАМО. Ф. 4570. Оп. 1. Д. 13. Л. 2.</w:t>
      </w:r>
    </w:p>
  </w:footnote>
  <w:footnote w:id="10">
    <w:p w14:paraId="8A000000">
      <w:pPr>
        <w:pStyle w:val="Style_29"/>
      </w:pPr>
      <w:r>
        <w:rPr>
          <w:vertAlign w:val="superscript"/>
        </w:rPr>
        <w:footnoteRef/>
      </w:r>
      <w:r>
        <w:t xml:space="preserve"> Московские церковные ведомости. 1906. </w:t>
      </w:r>
      <w:r>
        <w:t>Вып</w:t>
      </w:r>
      <w:r>
        <w:t xml:space="preserve">. 50. </w:t>
      </w:r>
    </w:p>
  </w:footnote>
  <w:footnote w:id="11">
    <w:p w14:paraId="8B000000">
      <w:pPr>
        <w:pStyle w:val="Style_29"/>
      </w:pPr>
      <w:r>
        <w:rPr>
          <w:vertAlign w:val="superscript"/>
        </w:rPr>
        <w:footnoteRef/>
      </w:r>
      <w:r>
        <w:t xml:space="preserve"> Московские церковные ведомости. 1909. </w:t>
      </w:r>
      <w:r>
        <w:t>Вып</w:t>
      </w:r>
      <w:r>
        <w:t>. 37. С. 242.</w:t>
      </w:r>
    </w:p>
  </w:footnote>
  <w:footnote w:id="12">
    <w:p w14:paraId="8C000000">
      <w:pPr>
        <w:pStyle w:val="Style_29"/>
      </w:pPr>
      <w:r>
        <w:rPr>
          <w:vertAlign w:val="superscript"/>
        </w:rPr>
        <w:footnoteRef/>
      </w:r>
      <w:r>
        <w:t xml:space="preserve"> Письма государыни императрицы Марии </w:t>
      </w:r>
      <w:r>
        <w:t>Феодоровны</w:t>
      </w:r>
      <w:r>
        <w:t xml:space="preserve">, августейшей основательницы и покровительницы Московской Мариинской больницы для бедных, к почетному опекуну А.И. </w:t>
      </w:r>
      <w:r>
        <w:t>Муханову</w:t>
      </w:r>
      <w:r>
        <w:t xml:space="preserve">. - </w:t>
      </w:r>
      <w:r>
        <w:t>Москва :</w:t>
      </w:r>
      <w:r>
        <w:t xml:space="preserve"> изд. членов Мариин. благотворит. о-ва при Мариин. больнице, 1886.  С. 6.</w:t>
      </w:r>
    </w:p>
  </w:footnote>
  <w:footnote w:id="13">
    <w:p w14:paraId="8D000000">
      <w:pPr>
        <w:pStyle w:val="Style_29"/>
      </w:pPr>
      <w:r>
        <w:rPr>
          <w:vertAlign w:val="superscript"/>
        </w:rPr>
        <w:footnoteRef/>
      </w:r>
      <w:r>
        <w:t xml:space="preserve">  Письма государыни императрицы Марии </w:t>
      </w:r>
      <w:r>
        <w:t>Феодоровны</w:t>
      </w:r>
      <w:r>
        <w:t xml:space="preserve">, августейшей основательницы и покровительницы Московской Мариинской больницы для бедных, к почетному опекуну А.И. </w:t>
      </w:r>
      <w:r>
        <w:t>Муханову</w:t>
      </w:r>
      <w:r>
        <w:t xml:space="preserve">. - </w:t>
      </w:r>
      <w:r>
        <w:t>Москва :</w:t>
      </w:r>
      <w:r>
        <w:t xml:space="preserve"> изд. членов Мариин. благотворит. о-ва при Мариин. больнице, 1886.  С. 22.</w:t>
      </w:r>
    </w:p>
  </w:footnote>
  <w:footnote w:id="14">
    <w:p w14:paraId="8E000000">
      <w:pPr>
        <w:pStyle w:val="Style_29"/>
      </w:pPr>
      <w:r>
        <w:rPr>
          <w:vertAlign w:val="superscript"/>
        </w:rPr>
        <w:footnoteRef/>
      </w:r>
      <w:r>
        <w:t xml:space="preserve"> ЦГА Москвы. Ф. 2126. Оп. 2. Д. 172.</w:t>
      </w:r>
    </w:p>
  </w:footnote>
  <w:footnote w:id="15">
    <w:p w14:paraId="8F000000">
      <w:pPr>
        <w:pStyle w:val="Style_29"/>
      </w:pPr>
      <w:r>
        <w:rPr>
          <w:vertAlign w:val="superscript"/>
        </w:rPr>
        <w:footnoteRef/>
      </w:r>
      <w:r>
        <w:t xml:space="preserve">  ЦГА Москвы. Ф. 2126. Оп. 2. </w:t>
      </w:r>
      <w:r>
        <w:t>Дд</w:t>
      </w:r>
      <w:r>
        <w:t>. 169, 172.</w:t>
      </w:r>
    </w:p>
  </w:footnote>
  <w:footnote w:id="16">
    <w:p w14:paraId="90000000">
      <w:pPr>
        <w:pStyle w:val="Style_29"/>
      </w:pPr>
      <w:r>
        <w:rPr>
          <w:vertAlign w:val="superscript"/>
        </w:rPr>
        <w:footnoteRef/>
      </w:r>
      <w:r>
        <w:t xml:space="preserve"> Находилась по адресу: ул. Делегатская, д. 20/1. Освящена 5 октября 1847 года, в первый год существования Московской общественной ремесленной богадельни. Вскоре после 1917 года церковь и богадельня были закрыты. Здание надстроено, купол не сохранился.</w:t>
      </w:r>
    </w:p>
  </w:footnote>
  <w:footnote w:id="17">
    <w:p w14:paraId="91000000">
      <w:pPr>
        <w:pStyle w:val="Style_29"/>
      </w:pPr>
      <w:r>
        <w:rPr>
          <w:vertAlign w:val="superscript"/>
        </w:rPr>
        <w:footnoteRef/>
      </w:r>
      <w:r>
        <w:t xml:space="preserve"> ЦГА Москвы, фонд №203, опись №782, дело №623. </w:t>
      </w:r>
      <w:r>
        <w:t>Лл</w:t>
      </w:r>
      <w:r>
        <w:t>. 189 — 190.</w:t>
      </w:r>
    </w:p>
  </w:footnote>
  <w:footnote w:id="18">
    <w:p w14:paraId="92000000">
      <w:pPr>
        <w:pStyle w:val="Style_29"/>
      </w:pPr>
      <w:r>
        <w:rPr>
          <w:vertAlign w:val="superscript"/>
        </w:rPr>
        <w:footnoteRef/>
      </w:r>
      <w:r>
        <w:t xml:space="preserve"> Там же. </w:t>
      </w:r>
      <w:r>
        <w:t>Лл</w:t>
      </w:r>
      <w:r>
        <w:t>. 20 — 20 об.</w:t>
      </w:r>
    </w:p>
  </w:footnote>
  <w:footnote w:id="19">
    <w:p w14:paraId="93000000">
      <w:pPr>
        <w:pStyle w:val="Style_29"/>
      </w:pPr>
      <w:r>
        <w:rPr>
          <w:vertAlign w:val="superscript"/>
        </w:rPr>
        <w:footnoteRef/>
      </w:r>
      <w:r>
        <w:t xml:space="preserve"> Справка из МВД по Архангельской области. Из архива составителя.</w:t>
      </w:r>
    </w:p>
  </w:footnote>
  <w:footnote w:id="20">
    <w:p w14:paraId="94000000">
      <w:pPr>
        <w:pStyle w:val="Style_29"/>
      </w:pPr>
      <w:r>
        <w:rPr>
          <w:vertAlign w:val="superscript"/>
        </w:rPr>
        <w:footnoteRef/>
      </w:r>
      <w:r>
        <w:t xml:space="preserve"> Данилова Г. А.  «Страницы истории советского периода. ГУЛАГ. Пинега». С. 93.</w:t>
      </w:r>
    </w:p>
  </w:footnote>
  <w:footnote w:id="21">
    <w:p w14:paraId="95000000">
      <w:pPr>
        <w:pStyle w:val="Style_29"/>
      </w:pPr>
      <w:r>
        <w:rPr>
          <w:vertAlign w:val="superscript"/>
        </w:rPr>
        <w:footnoteRef/>
      </w:r>
      <w:r>
        <w:t xml:space="preserve"> Данилова Г. А.  «Страницы истории советского периода. ГУЛАГ. Пинега». С. 91.</w:t>
      </w:r>
    </w:p>
  </w:footnote>
  <w:footnote w:id="22">
    <w:p w14:paraId="96000000">
      <w:pPr>
        <w:pStyle w:val="Style_29"/>
      </w:pPr>
      <w:r>
        <w:rPr>
          <w:vertAlign w:val="superscript"/>
        </w:rPr>
        <w:footnoteRef/>
      </w:r>
      <w:r>
        <w:t xml:space="preserve"> ЦГАМО. Ф. 4570 Оп. 1 Д. 33. Л. 35.</w:t>
      </w:r>
    </w:p>
  </w:footnote>
  <w:footnote w:id="23">
    <w:p w14:paraId="97000000">
      <w:pPr>
        <w:pStyle w:val="Style_29"/>
      </w:pPr>
      <w:r>
        <w:rPr>
          <w:vertAlign w:val="superscript"/>
        </w:rPr>
        <w:footnoteRef/>
      </w:r>
      <w:r>
        <w:t xml:space="preserve"> Постановление ВЦИК и СНК РСФСР от 8 апреля 1929 года «О религиозных объединениях» — основной правовой акт, регулировавший религиозную жизнь в СССР до конца Советской власти. Пункт 4 этого постановления гласил: «Религиозное общество или группа верующих могут приступить к своей деятельности лишь после принятия решения о регистрации общества или группы верующих Советом по делам религий при Совете Министров СССР».</w:t>
      </w:r>
      <w:r>
        <w:br/>
      </w:r>
    </w:p>
  </w:footnote>
  <w:footnote w:id="24">
    <w:p w14:paraId="98000000">
      <w:pPr>
        <w:pStyle w:val="Style_29"/>
      </w:pPr>
      <w:r>
        <w:rPr>
          <w:vertAlign w:val="superscript"/>
        </w:rPr>
        <w:footnoteRef/>
      </w:r>
      <w:r>
        <w:fldChar w:fldCharType="begin"/>
      </w:r>
      <w:r>
        <w:instrText>HYPERLINK "https://arch.mosreg.ru/srv/private/office/documents?oid=135925941"</w:instrText>
      </w:r>
      <w:r>
        <w:fldChar w:fldCharType="separate"/>
      </w:r>
      <w:r>
        <w:t xml:space="preserve"> ЦГАМО. Ф. 4570 Оп. 1 Д. 33.</w:t>
      </w:r>
      <w:r>
        <w:fldChar w:fldCharType="end"/>
      </w:r>
      <w:r>
        <w:t xml:space="preserve"> Л. 4. Пункт 40 гласит указанного выше постановления гласит: «При ликвидации молитвенного здания культовое имущество распределяется следующим образом: а) все предметы из платины, золота, серебра и парчи, а также драгоценные камни подлежат зачислению в государственный фонд и передаются в распоряжение местных финансовых органов или в распоряжение органов Народного комиссариата просвещения, если эти предметы состояли на их учете; б) все предметы исторической, художественной, музейной ценности передаются органам Народного комиссариата просвещения; в) остальные предметы (иконы, облачения, хоругви, покровы и т. п.), имеющие специальное значение при отправлении культа, передаются верующим для переноса в другие молитвенные здания того же культа; эти предметы заносятся в опись культового имущества на общих основаниях; г) предметы обиходные (колокола, мебель, ковры, люстры и т. п.) подлежат зачислению в государственный фонд и передаются в распоряжение местных финансовых органов или в распоряжение органов народного образования, если они состояли на учете последних; д) так называемое переходящее имущество, деньги, а также ладан, свечи, масло, вино, воск, дрова и уголь, имеющие определенное целевое назначение для выполнения условий договора или для совершения религиозных обрядов культа, в случае сохранения существования общества после ликвидации молитвенного здания, изъятию не подлежат».</w:t>
      </w:r>
    </w:p>
  </w:footnote>
  <w:footnote w:id="25">
    <w:p w14:paraId="99000000">
      <w:pPr>
        <w:pStyle w:val="Style_29"/>
      </w:pPr>
      <w:r>
        <w:rPr>
          <w:vertAlign w:val="superscript"/>
        </w:rPr>
        <w:footnoteRef/>
      </w:r>
      <w:r>
        <w:t xml:space="preserve"> ЦГАМО. Ф. 4570 Оп. 1 Д. 33. Л. 31.</w:t>
      </w:r>
    </w:p>
  </w:footnote>
  <w:footnote w:id="26">
    <w:p w14:paraId="9A000000">
      <w:r>
        <w:rPr>
          <w:vertAlign w:val="superscript"/>
        </w:rPr>
        <w:footnoteRef/>
      </w:r>
      <w:r>
        <w:t xml:space="preserve"> </w:t>
      </w:r>
      <w:r>
        <w:rPr>
          <w:sz w:val="20"/>
        </w:rPr>
        <w:t>Выписка из протокола 39 заседания от 10 марта 1932 года.</w:t>
      </w:r>
      <w:r>
        <w:rPr>
          <w:sz w:val="20"/>
        </w:rPr>
        <w:t>ЦГАМО. Ф. 4570 Оп. 1 Д. 33. Л. 32.</w:t>
      </w:r>
      <w:r>
        <w:rPr>
          <w:sz w:val="20"/>
        </w:rPr>
        <w:t xml:space="preserve"> </w:t>
      </w:r>
      <w:r>
        <w:rPr>
          <w:rFonts w:ascii="Sylfaen" w:hAnsi="Sylfaen"/>
          <w:sz w:val="20"/>
        </w:rPr>
        <w:t>Стилистика оригинала сохранена.</w:t>
      </w:r>
    </w:p>
  </w:footnote>
  <w:footnote w:id="27">
    <w:p w14:paraId="9B000000">
      <w:pPr>
        <w:pStyle w:val="Style_29"/>
      </w:pPr>
      <w:r>
        <w:rPr>
          <w:vertAlign w:val="superscript"/>
        </w:rPr>
        <w:footnoteRef/>
      </w:r>
      <w:r>
        <w:t xml:space="preserve"> </w:t>
      </w:r>
      <w:r>
        <w:t>ЦА ФСБ РФ. Д. Р-34935.</w:t>
      </w:r>
    </w:p>
  </w:footnote>
  <w:footnote w:id="28">
    <w:p w14:paraId="9C000000">
      <w:r>
        <w:rPr>
          <w:vertAlign w:val="superscript"/>
        </w:rPr>
        <w:footnoteRef/>
      </w:r>
      <w:r>
        <w:t xml:space="preserve"> </w:t>
      </w:r>
      <w:r>
        <w:rPr>
          <w:rFonts w:ascii="Ubuntu" w:hAnsi="Ubuntu"/>
          <w:color w:val="337AB7"/>
          <w:sz w:val="21"/>
          <w:shd w:fill="F9F9F9" w:val="clear"/>
        </w:rPr>
        <w:fldChar w:fldCharType="begin"/>
      </w:r>
      <w:r>
        <w:rPr>
          <w:rFonts w:ascii="Ubuntu" w:hAnsi="Ubuntu"/>
          <w:color w:val="337AB7"/>
          <w:sz w:val="21"/>
          <w:shd w:fill="F9F9F9" w:val="clear"/>
        </w:rPr>
        <w:instrText>HYPERLINK "https://arch.mosreg.ru/srv/private/office/documents?oid=135925941"</w:instrText>
      </w:r>
      <w:r>
        <w:rPr>
          <w:rFonts w:ascii="Ubuntu" w:hAnsi="Ubuntu"/>
          <w:color w:val="337AB7"/>
          <w:sz w:val="21"/>
          <w:shd w:fill="F9F9F9" w:val="clear"/>
        </w:rPr>
        <w:fldChar w:fldCharType="separate"/>
      </w:r>
      <w:r>
        <w:rPr>
          <w:rFonts w:ascii="Ubuntu" w:hAnsi="Ubuntu"/>
          <w:color w:val="337AB7"/>
          <w:sz w:val="21"/>
          <w:shd w:fill="F9F9F9" w:val="clear"/>
        </w:rPr>
        <w:t>Ф. 4570 Оп. 1 Д. 33.</w:t>
      </w:r>
      <w:r>
        <w:rPr>
          <w:rFonts w:ascii="Ubuntu" w:hAnsi="Ubuntu"/>
          <w:color w:val="337AB7"/>
          <w:sz w:val="21"/>
          <w:shd w:fill="F9F9F9" w:val="clear"/>
        </w:rPr>
        <w:fldChar w:fldCharType="end"/>
      </w:r>
      <w:r>
        <w:rPr>
          <w:rFonts w:ascii="Ubuntu" w:hAnsi="Ubuntu"/>
          <w:color w:val="337AB7"/>
          <w:sz w:val="21"/>
          <w:shd w:fill="F9F9F9" w:val="clear"/>
        </w:rPr>
        <w:t xml:space="preserve"> </w:t>
      </w:r>
      <w:r>
        <w:t>Л. 4.</w:t>
      </w:r>
      <w:r>
        <w:t xml:space="preserve"> </w:t>
      </w:r>
      <w:r>
        <w:t xml:space="preserve"> Далее: </w:t>
      </w:r>
      <w:r>
        <w:rPr>
          <w:rFonts w:ascii="Ubuntu" w:hAnsi="Ubuntu"/>
          <w:color w:val="337AB7"/>
          <w:sz w:val="21"/>
          <w:shd w:fill="F9F9F9" w:val="clear"/>
        </w:rPr>
        <w:fldChar w:fldCharType="begin"/>
      </w:r>
      <w:r>
        <w:rPr>
          <w:rFonts w:ascii="Ubuntu" w:hAnsi="Ubuntu"/>
          <w:color w:val="337AB7"/>
          <w:sz w:val="21"/>
          <w:shd w:fill="F9F9F9" w:val="clear"/>
        </w:rPr>
        <w:instrText>HYPERLINK "https://arch.mosreg.ru/srv/private/office/documents?oid=135925941"</w:instrText>
      </w:r>
      <w:r>
        <w:rPr>
          <w:rFonts w:ascii="Ubuntu" w:hAnsi="Ubuntu"/>
          <w:color w:val="337AB7"/>
          <w:sz w:val="21"/>
          <w:shd w:fill="F9F9F9" w:val="clear"/>
        </w:rPr>
        <w:fldChar w:fldCharType="separate"/>
      </w:r>
      <w:r>
        <w:rPr>
          <w:rFonts w:ascii="Ubuntu" w:hAnsi="Ubuntu"/>
          <w:color w:val="337AB7"/>
          <w:sz w:val="21"/>
          <w:shd w:fill="F9F9F9" w:val="clear"/>
        </w:rPr>
        <w:t>Ф. 4570 Оп. 1 Д. 33.</w:t>
      </w:r>
      <w:r>
        <w:rPr>
          <w:rFonts w:ascii="Ubuntu" w:hAnsi="Ubuntu"/>
          <w:color w:val="337AB7"/>
          <w:sz w:val="21"/>
          <w:shd w:fill="F9F9F9" w:val="clear"/>
        </w:rPr>
        <w:fldChar w:fldCharType="end"/>
      </w:r>
    </w:p>
    <w:p w14:paraId="9D000000"/>
    <w:p w14:paraId="9E000000">
      <w:pPr>
        <w:pStyle w:val="Style_21"/>
      </w:pPr>
    </w:p>
  </w:footnote>
  <w:footnote w:id="29">
    <w:p w14:paraId="9F000000">
      <w:r>
        <w:rPr>
          <w:vertAlign w:val="superscript"/>
        </w:rPr>
        <w:footnoteRef/>
      </w:r>
      <w:r>
        <w:t xml:space="preserve"> Вечерняя Москва, 1932, № 236, 11 октября</w:t>
      </w:r>
    </w:p>
  </w:footnote>
  <w:footnote w:id="30">
    <w:p w14:paraId="A0000000">
      <w:r>
        <w:rPr>
          <w:vertAlign w:val="superscript"/>
        </w:rPr>
        <w:footnoteRef/>
      </w:r>
      <w:r>
        <w:t xml:space="preserve"> </w:t>
      </w:r>
      <w:r>
        <w:tab/>
      </w:r>
      <w:r>
        <w:t>Вечерняя Москва, 1932, № 295, 22 декабря</w:t>
      </w:r>
    </w:p>
    <w:p w14:paraId="A1000000">
      <w:pPr>
        <w:pStyle w:val="Style_21"/>
        <w:tabs>
          <w:tab w:leader="none" w:pos="1335" w:val="left"/>
        </w:tabs>
        <w:ind/>
      </w:pPr>
    </w:p>
  </w:footnote>
  <w:footnote w:id="31">
    <w:p w14:paraId="A2000000">
      <w:r>
        <w:rPr>
          <w:vertAlign w:val="superscript"/>
        </w:rPr>
        <w:footnoteRef/>
      </w:r>
      <w:r>
        <w:rPr>
          <w:sz w:val="22"/>
        </w:rPr>
        <w:t xml:space="preserve"> ЦГАМО. Ф. 2157 Оп. 1. Д. 827. Л. 153.</w:t>
      </w:r>
    </w:p>
  </w:footnote>
</w:footnote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4" w:type="paragraph">
    <w:name w:val="Normal"/>
    <w:link w:val="Style_4_ch"/>
    <w:uiPriority w:val="0"/>
    <w:qFormat/>
    <w:pPr>
      <w:ind w:firstLine="709" w:left="0"/>
    </w:pPr>
    <w:rPr>
      <w:sz w:val="28"/>
    </w:rPr>
  </w:style>
  <w:style w:default="1" w:styleId="Style_4_ch" w:type="character">
    <w:name w:val="Normal"/>
    <w:link w:val="Style_4"/>
    <w:rPr>
      <w:sz w:val="28"/>
    </w:rPr>
  </w:style>
  <w:style w:styleId="Style_5" w:type="paragraph">
    <w:name w:val="toc 2"/>
    <w:next w:val="Style_4"/>
    <w:link w:val="Style_5_ch"/>
    <w:uiPriority w:val="39"/>
    <w:pPr>
      <w:ind w:firstLine="0" w:left="200"/>
    </w:pPr>
    <w:rPr>
      <w:rFonts w:ascii="XO Thames" w:hAnsi="XO Thames"/>
      <w:sz w:val="28"/>
    </w:rPr>
  </w:style>
  <w:style w:styleId="Style_5_ch" w:type="character">
    <w:name w:val="toc 2"/>
    <w:link w:val="Style_5"/>
    <w:rPr>
      <w:rFonts w:ascii="XO Thames" w:hAnsi="XO Thames"/>
      <w:sz w:val="28"/>
    </w:rPr>
  </w:style>
  <w:style w:styleId="Style_6" w:type="paragraph">
    <w:name w:val="toc 4"/>
    <w:next w:val="Style_4"/>
    <w:link w:val="Style_6_ch"/>
    <w:uiPriority w:val="39"/>
    <w:pPr>
      <w:ind w:firstLine="0" w:left="600"/>
    </w:pPr>
    <w:rPr>
      <w:rFonts w:ascii="XO Thames" w:hAnsi="XO Thames"/>
      <w:sz w:val="28"/>
    </w:rPr>
  </w:style>
  <w:style w:styleId="Style_6_ch" w:type="character">
    <w:name w:val="toc 4"/>
    <w:link w:val="Style_6"/>
    <w:rPr>
      <w:rFonts w:ascii="XO Thames" w:hAnsi="XO Thames"/>
      <w:sz w:val="28"/>
    </w:rPr>
  </w:style>
  <w:style w:styleId="Style_7" w:type="paragraph">
    <w:name w:val="toc 6"/>
    <w:next w:val="Style_4"/>
    <w:link w:val="Style_7_ch"/>
    <w:uiPriority w:val="39"/>
    <w:pPr>
      <w:ind w:firstLine="0" w:left="1000"/>
    </w:pPr>
    <w:rPr>
      <w:rFonts w:ascii="XO Thames" w:hAnsi="XO Thames"/>
      <w:sz w:val="28"/>
    </w:rPr>
  </w:style>
  <w:style w:styleId="Style_7_ch" w:type="character">
    <w:name w:val="toc 6"/>
    <w:link w:val="Style_7"/>
    <w:rPr>
      <w:rFonts w:ascii="XO Thames" w:hAnsi="XO Thames"/>
      <w:sz w:val="28"/>
    </w:rPr>
  </w:style>
  <w:style w:styleId="Style_8" w:type="paragraph">
    <w:name w:val="toc 7"/>
    <w:next w:val="Style_4"/>
    <w:link w:val="Style_8_ch"/>
    <w:uiPriority w:val="39"/>
    <w:pPr>
      <w:ind w:firstLine="0" w:left="1200"/>
    </w:pPr>
    <w:rPr>
      <w:rFonts w:ascii="XO Thames" w:hAnsi="XO Thames"/>
      <w:sz w:val="28"/>
    </w:rPr>
  </w:style>
  <w:style w:styleId="Style_8_ch" w:type="character">
    <w:name w:val="toc 7"/>
    <w:link w:val="Style_8"/>
    <w:rPr>
      <w:rFonts w:ascii="XO Thames" w:hAnsi="XO Thames"/>
      <w:sz w:val="28"/>
    </w:rPr>
  </w:style>
  <w:style w:styleId="Style_9" w:type="paragraph">
    <w:name w:val="heading 3"/>
    <w:next w:val="Style_4"/>
    <w:link w:val="Style_9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9_ch" w:type="character">
    <w:name w:val="heading 3"/>
    <w:link w:val="Style_9"/>
    <w:rPr>
      <w:rFonts w:ascii="XO Thames" w:hAnsi="XO Thames"/>
      <w:b w:val="1"/>
      <w:sz w:val="26"/>
    </w:rPr>
  </w:style>
  <w:style w:styleId="Style_10" w:type="paragraph">
    <w:name w:val="Обычный1"/>
    <w:link w:val="Style_10_ch"/>
    <w:rPr>
      <w:sz w:val="28"/>
    </w:rPr>
  </w:style>
  <w:style w:styleId="Style_10_ch" w:type="character">
    <w:name w:val="Обычный1"/>
    <w:link w:val="Style_10"/>
    <w:rPr>
      <w:sz w:val="28"/>
    </w:rPr>
  </w:style>
  <w:style w:styleId="Style_11" w:type="paragraph">
    <w:name w:val="Обычный1"/>
    <w:link w:val="Style_11_ch"/>
    <w:rPr>
      <w:sz w:val="28"/>
    </w:rPr>
  </w:style>
  <w:style w:styleId="Style_11_ch" w:type="character">
    <w:name w:val="Обычный1"/>
    <w:link w:val="Style_11"/>
    <w:rPr>
      <w:sz w:val="28"/>
    </w:rPr>
  </w:style>
  <w:style w:styleId="Style_12" w:type="paragraph">
    <w:name w:val="Основной шрифт абзаца1"/>
    <w:link w:val="Style_12_ch"/>
  </w:style>
  <w:style w:styleId="Style_12_ch" w:type="character">
    <w:name w:val="Основной шрифт абзаца1"/>
    <w:link w:val="Style_12"/>
  </w:style>
  <w:style w:styleId="Style_13" w:type="paragraph">
    <w:name w:val="Название книги1"/>
    <w:basedOn w:val="Style_14"/>
    <w:link w:val="Style_13_ch"/>
    <w:rPr>
      <w:b w:val="1"/>
      <w:i w:val="1"/>
      <w:spacing w:val="5"/>
    </w:rPr>
  </w:style>
  <w:style w:styleId="Style_13_ch" w:type="character">
    <w:name w:val="Название книги1"/>
    <w:basedOn w:val="Style_14_ch"/>
    <w:link w:val="Style_13"/>
    <w:rPr>
      <w:b w:val="1"/>
      <w:i w:val="1"/>
      <w:spacing w:val="5"/>
    </w:rPr>
  </w:style>
  <w:style w:styleId="Style_15" w:type="paragraph">
    <w:name w:val="toc 3"/>
    <w:next w:val="Style_4"/>
    <w:link w:val="Style_15_ch"/>
    <w:uiPriority w:val="39"/>
    <w:pPr>
      <w:ind w:firstLine="0" w:left="400"/>
    </w:pPr>
    <w:rPr>
      <w:rFonts w:ascii="XO Thames" w:hAnsi="XO Thames"/>
      <w:sz w:val="28"/>
    </w:rPr>
  </w:style>
  <w:style w:styleId="Style_15_ch" w:type="character">
    <w:name w:val="toc 3"/>
    <w:link w:val="Style_15"/>
    <w:rPr>
      <w:rFonts w:ascii="XO Thames" w:hAnsi="XO Thames"/>
      <w:sz w:val="28"/>
    </w:rPr>
  </w:style>
  <w:style w:styleId="Style_16" w:type="paragraph">
    <w:name w:val="caption"/>
    <w:basedOn w:val="Style_4"/>
    <w:next w:val="Style_4"/>
    <w:link w:val="Style_16_ch"/>
    <w:pPr>
      <w:spacing w:after="200" w:line="240" w:lineRule="auto"/>
      <w:ind/>
    </w:pPr>
    <w:rPr>
      <w:i w:val="1"/>
      <w:color w:themeColor="text2" w:val="44546A"/>
      <w:sz w:val="18"/>
    </w:rPr>
  </w:style>
  <w:style w:styleId="Style_16_ch" w:type="character">
    <w:name w:val="caption"/>
    <w:basedOn w:val="Style_4_ch"/>
    <w:link w:val="Style_16"/>
    <w:rPr>
      <w:i w:val="1"/>
      <w:color w:themeColor="text2" w:val="44546A"/>
      <w:sz w:val="18"/>
    </w:rPr>
  </w:style>
  <w:style w:styleId="Style_17" w:type="paragraph">
    <w:name w:val="heading 5"/>
    <w:next w:val="Style_4"/>
    <w:link w:val="Style_17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</w:rPr>
  </w:style>
  <w:style w:styleId="Style_17_ch" w:type="character">
    <w:name w:val="heading 5"/>
    <w:link w:val="Style_17"/>
    <w:rPr>
      <w:rFonts w:ascii="XO Thames" w:hAnsi="XO Thames"/>
      <w:b w:val="1"/>
    </w:rPr>
  </w:style>
  <w:style w:styleId="Style_18" w:type="paragraph">
    <w:name w:val="Слабое выделение1"/>
    <w:basedOn w:val="Style_14"/>
    <w:link w:val="Style_18_ch"/>
    <w:rPr>
      <w:i w:val="1"/>
      <w:color w:themeColor="text1" w:themeTint="BF" w:val="404040"/>
    </w:rPr>
  </w:style>
  <w:style w:styleId="Style_18_ch" w:type="character">
    <w:name w:val="Слабое выделение1"/>
    <w:basedOn w:val="Style_14_ch"/>
    <w:link w:val="Style_18"/>
    <w:rPr>
      <w:i w:val="1"/>
      <w:color w:themeColor="text1" w:themeTint="BF" w:val="404040"/>
    </w:rPr>
  </w:style>
  <w:style w:styleId="Style_1" w:type="paragraph">
    <w:name w:val="heading 1"/>
    <w:basedOn w:val="Style_4"/>
    <w:link w:val="Style_1_ch"/>
    <w:uiPriority w:val="9"/>
    <w:qFormat/>
    <w:pPr>
      <w:spacing w:afterAutospacing="on" w:beforeAutospacing="on" w:line="240" w:lineRule="auto"/>
      <w:ind/>
      <w:outlineLvl w:val="0"/>
    </w:pPr>
    <w:rPr>
      <w:rFonts w:ascii="Times New Roman" w:hAnsi="Times New Roman"/>
      <w:b w:val="1"/>
      <w:sz w:val="48"/>
    </w:rPr>
  </w:style>
  <w:style w:styleId="Style_1_ch" w:type="character">
    <w:name w:val="heading 1"/>
    <w:basedOn w:val="Style_4_ch"/>
    <w:link w:val="Style_1"/>
    <w:rPr>
      <w:rFonts w:ascii="Times New Roman" w:hAnsi="Times New Roman"/>
      <w:b w:val="1"/>
      <w:sz w:val="48"/>
    </w:rPr>
  </w:style>
  <w:style w:styleId="Style_19" w:type="paragraph">
    <w:name w:val="Гиперссылка1"/>
    <w:basedOn w:val="Style_14"/>
    <w:link w:val="Style_19_ch"/>
    <w:rPr>
      <w:color w:val="0000FF"/>
      <w:u w:val="single"/>
    </w:rPr>
  </w:style>
  <w:style w:styleId="Style_19_ch" w:type="character">
    <w:name w:val="Гиперссылка1"/>
    <w:basedOn w:val="Style_14_ch"/>
    <w:link w:val="Style_19"/>
    <w:rPr>
      <w:color w:val="0000FF"/>
      <w:u w:val="single"/>
    </w:rPr>
  </w:style>
  <w:style w:styleId="Style_20" w:type="paragraph">
    <w:name w:val="Hyperlink"/>
    <w:link w:val="Style_20_ch"/>
    <w:rPr>
      <w:color w:val="0000FF"/>
      <w:u w:val="single"/>
    </w:rPr>
  </w:style>
  <w:style w:styleId="Style_20_ch" w:type="character">
    <w:name w:val="Hyperlink"/>
    <w:link w:val="Style_20"/>
    <w:rPr>
      <w:color w:val="0000FF"/>
      <w:u w:val="single"/>
    </w:rPr>
  </w:style>
  <w:style w:styleId="Style_21" w:type="paragraph">
    <w:name w:val="Footnote"/>
    <w:basedOn w:val="Style_4"/>
    <w:link w:val="Style_21_ch"/>
    <w:pPr>
      <w:spacing w:after="0" w:line="240" w:lineRule="auto"/>
      <w:ind/>
    </w:pPr>
    <w:rPr>
      <w:sz w:val="20"/>
    </w:rPr>
  </w:style>
  <w:style w:styleId="Style_21_ch" w:type="character">
    <w:name w:val="Footnote"/>
    <w:basedOn w:val="Style_4_ch"/>
    <w:link w:val="Style_21"/>
    <w:rPr>
      <w:sz w:val="20"/>
    </w:rPr>
  </w:style>
  <w:style w:styleId="Style_22" w:type="paragraph">
    <w:name w:val="toc 1"/>
    <w:next w:val="Style_4"/>
    <w:link w:val="Style_22_ch"/>
    <w:uiPriority w:val="39"/>
    <w:rPr>
      <w:rFonts w:ascii="XO Thames" w:hAnsi="XO Thames"/>
      <w:b w:val="1"/>
      <w:sz w:val="28"/>
    </w:rPr>
  </w:style>
  <w:style w:styleId="Style_22_ch" w:type="character">
    <w:name w:val="toc 1"/>
    <w:link w:val="Style_22"/>
    <w:rPr>
      <w:rFonts w:ascii="XO Thames" w:hAnsi="XO Thames"/>
      <w:b w:val="1"/>
      <w:sz w:val="28"/>
    </w:rPr>
  </w:style>
  <w:style w:styleId="Style_23" w:type="paragraph">
    <w:name w:val="Default Paragraph Font"/>
    <w:link w:val="Style_23_ch"/>
  </w:style>
  <w:style w:styleId="Style_23_ch" w:type="character">
    <w:name w:val="Default Paragraph Font"/>
    <w:link w:val="Style_23"/>
  </w:style>
  <w:style w:styleId="Style_24" w:type="paragraph">
    <w:name w:val="Header and Footer"/>
    <w:link w:val="Style_24_ch"/>
    <w:pPr>
      <w:spacing w:line="240" w:lineRule="auto"/>
      <w:ind/>
      <w:jc w:val="both"/>
    </w:pPr>
    <w:rPr>
      <w:rFonts w:ascii="XO Thames" w:hAnsi="XO Thames"/>
      <w:sz w:val="20"/>
    </w:rPr>
  </w:style>
  <w:style w:styleId="Style_24_ch" w:type="character">
    <w:name w:val="Header and Footer"/>
    <w:link w:val="Style_24"/>
    <w:rPr>
      <w:rFonts w:ascii="XO Thames" w:hAnsi="XO Thames"/>
      <w:sz w:val="20"/>
    </w:rPr>
  </w:style>
  <w:style w:styleId="Style_25" w:type="paragraph">
    <w:name w:val="toc 9"/>
    <w:next w:val="Style_4"/>
    <w:link w:val="Style_25_ch"/>
    <w:uiPriority w:val="39"/>
    <w:pPr>
      <w:ind w:firstLine="0" w:left="1600"/>
    </w:pPr>
    <w:rPr>
      <w:rFonts w:ascii="XO Thames" w:hAnsi="XO Thames"/>
      <w:sz w:val="28"/>
    </w:rPr>
  </w:style>
  <w:style w:styleId="Style_25_ch" w:type="character">
    <w:name w:val="toc 9"/>
    <w:link w:val="Style_25"/>
    <w:rPr>
      <w:rFonts w:ascii="XO Thames" w:hAnsi="XO Thames"/>
      <w:sz w:val="28"/>
    </w:rPr>
  </w:style>
  <w:style w:styleId="Style_26" w:type="paragraph">
    <w:name w:val="List Paragraph"/>
    <w:basedOn w:val="Style_4"/>
    <w:link w:val="Style_26_ch"/>
    <w:pPr>
      <w:ind w:firstLine="0" w:left="720"/>
      <w:contextualSpacing w:val="1"/>
    </w:pPr>
  </w:style>
  <w:style w:styleId="Style_26_ch" w:type="character">
    <w:name w:val="List Paragraph"/>
    <w:basedOn w:val="Style_4_ch"/>
    <w:link w:val="Style_26"/>
  </w:style>
  <w:style w:styleId="Style_27" w:type="paragraph">
    <w:name w:val="toc 8"/>
    <w:next w:val="Style_4"/>
    <w:link w:val="Style_27_ch"/>
    <w:uiPriority w:val="39"/>
    <w:pPr>
      <w:ind w:firstLine="0" w:left="1400"/>
    </w:pPr>
    <w:rPr>
      <w:rFonts w:ascii="XO Thames" w:hAnsi="XO Thames"/>
      <w:sz w:val="28"/>
    </w:rPr>
  </w:style>
  <w:style w:styleId="Style_27_ch" w:type="character">
    <w:name w:val="toc 8"/>
    <w:link w:val="Style_27"/>
    <w:rPr>
      <w:rFonts w:ascii="XO Thames" w:hAnsi="XO Thames"/>
      <w:sz w:val="28"/>
    </w:rPr>
  </w:style>
  <w:style w:styleId="Style_28" w:type="paragraph">
    <w:name w:val="toc 5"/>
    <w:next w:val="Style_4"/>
    <w:link w:val="Style_28_ch"/>
    <w:uiPriority w:val="39"/>
    <w:pPr>
      <w:ind w:firstLine="0" w:left="800"/>
    </w:pPr>
    <w:rPr>
      <w:rFonts w:ascii="XO Thames" w:hAnsi="XO Thames"/>
      <w:sz w:val="28"/>
    </w:rPr>
  </w:style>
  <w:style w:styleId="Style_28_ch" w:type="character">
    <w:name w:val="toc 5"/>
    <w:link w:val="Style_28"/>
    <w:rPr>
      <w:rFonts w:ascii="XO Thames" w:hAnsi="XO Thames"/>
      <w:sz w:val="28"/>
    </w:rPr>
  </w:style>
  <w:style w:styleId="Style_29" w:type="paragraph">
    <w:name w:val="Footnote"/>
    <w:basedOn w:val="Style_4"/>
    <w:link w:val="Style_29_ch"/>
    <w:pPr>
      <w:spacing w:after="0" w:line="240" w:lineRule="auto"/>
      <w:ind/>
    </w:pPr>
    <w:rPr>
      <w:sz w:val="20"/>
    </w:rPr>
  </w:style>
  <w:style w:styleId="Style_29_ch" w:type="character">
    <w:name w:val="Footnote"/>
    <w:basedOn w:val="Style_4_ch"/>
    <w:link w:val="Style_29"/>
    <w:rPr>
      <w:sz w:val="20"/>
    </w:rPr>
  </w:style>
  <w:style w:styleId="Style_30" w:type="paragraph">
    <w:name w:val="Гиперссылка2"/>
    <w:link w:val="Style_30_ch"/>
    <w:rPr>
      <w:color w:val="0000FF"/>
      <w:u w:val="single"/>
    </w:rPr>
  </w:style>
  <w:style w:styleId="Style_30_ch" w:type="character">
    <w:name w:val="Гиперссылка2"/>
    <w:link w:val="Style_30"/>
    <w:rPr>
      <w:color w:val="0000FF"/>
      <w:u w:val="single"/>
    </w:rPr>
  </w:style>
  <w:style w:styleId="Style_31" w:type="paragraph">
    <w:name w:val="Subtitle"/>
    <w:next w:val="Style_4"/>
    <w:link w:val="Style_31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31_ch" w:type="character">
    <w:name w:val="Subtitle"/>
    <w:link w:val="Style_31"/>
    <w:rPr>
      <w:rFonts w:ascii="XO Thames" w:hAnsi="XO Thames"/>
      <w:i w:val="1"/>
      <w:sz w:val="24"/>
    </w:rPr>
  </w:style>
  <w:style w:styleId="Style_2" w:type="paragraph">
    <w:name w:val="Знак сноски1"/>
    <w:basedOn w:val="Style_14"/>
    <w:link w:val="Style_2_ch"/>
    <w:rPr>
      <w:vertAlign w:val="superscript"/>
    </w:rPr>
  </w:style>
  <w:style w:styleId="Style_2_ch" w:type="character">
    <w:name w:val="Знак сноски1"/>
    <w:basedOn w:val="Style_14_ch"/>
    <w:link w:val="Style_2"/>
    <w:rPr>
      <w:vertAlign w:val="superscript"/>
    </w:rPr>
  </w:style>
  <w:style w:styleId="Style_32" w:type="paragraph">
    <w:name w:val="Title"/>
    <w:next w:val="Style_4"/>
    <w:link w:val="Style_32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32_ch" w:type="character">
    <w:name w:val="Title"/>
    <w:link w:val="Style_32"/>
    <w:rPr>
      <w:rFonts w:ascii="XO Thames" w:hAnsi="XO Thames"/>
      <w:b w:val="1"/>
      <w:caps w:val="1"/>
      <w:sz w:val="40"/>
    </w:rPr>
  </w:style>
  <w:style w:styleId="Style_3" w:type="paragraph">
    <w:name w:val="footnote reference"/>
    <w:basedOn w:val="Style_23"/>
    <w:link w:val="Style_3_ch"/>
    <w:rPr>
      <w:vertAlign w:val="superscript"/>
    </w:rPr>
  </w:style>
  <w:style w:styleId="Style_3_ch" w:type="character">
    <w:name w:val="footnote reference"/>
    <w:basedOn w:val="Style_23_ch"/>
    <w:link w:val="Style_3"/>
    <w:rPr>
      <w:vertAlign w:val="superscript"/>
    </w:rPr>
  </w:style>
  <w:style w:styleId="Style_33" w:type="paragraph">
    <w:name w:val="heading 4"/>
    <w:next w:val="Style_4"/>
    <w:link w:val="Style_33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3_ch" w:type="character">
    <w:name w:val="heading 4"/>
    <w:link w:val="Style_33"/>
    <w:rPr>
      <w:rFonts w:ascii="XO Thames" w:hAnsi="XO Thames"/>
      <w:b w:val="1"/>
      <w:sz w:val="24"/>
    </w:rPr>
  </w:style>
  <w:style w:styleId="Style_14" w:type="paragraph">
    <w:name w:val="Основной шрифт абзаца1"/>
    <w:link w:val="Style_14_ch"/>
  </w:style>
  <w:style w:styleId="Style_14_ch" w:type="character">
    <w:name w:val="Основной шрифт абзаца1"/>
    <w:link w:val="Style_14"/>
  </w:style>
  <w:style w:styleId="Style_34" w:type="paragraph">
    <w:name w:val="heading 2"/>
    <w:next w:val="Style_4"/>
    <w:link w:val="Style_34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4_ch" w:type="character">
    <w:name w:val="heading 2"/>
    <w:link w:val="Style_34"/>
    <w:rPr>
      <w:rFonts w:ascii="XO Thames" w:hAnsi="XO Thames"/>
      <w:b w:val="1"/>
      <w:sz w:val="28"/>
    </w:rPr>
  </w:style>
  <w:style w:default="1" w:styleId="Style_35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fontTable.xml" Type="http://schemas.openxmlformats.org/officeDocument/2006/relationships/fontTable"/>
  <Relationship Id="rId11" Target="media/10.jpeg" Type="http://schemas.openxmlformats.org/officeDocument/2006/relationships/image"/>
  <Relationship Id="rId18" Target="theme/theme1.xml" Type="http://schemas.openxmlformats.org/officeDocument/2006/relationships/theme"/>
  <Relationship Id="rId17" Target="webSettings.xml" Type="http://schemas.openxmlformats.org/officeDocument/2006/relationships/webSettings"/>
  <Relationship Id="rId10" Target="media/9.jpeg" Type="http://schemas.openxmlformats.org/officeDocument/2006/relationships/image"/>
  <Relationship Id="rId15" Target="styles.xml" Type="http://schemas.openxmlformats.org/officeDocument/2006/relationships/styles"/>
  <Relationship Id="rId9" Target="media/8.jpeg" Type="http://schemas.openxmlformats.org/officeDocument/2006/relationships/image"/>
  <Relationship Id="rId19" Target="footnotes.xml" Type="http://schemas.openxmlformats.org/officeDocument/2006/relationships/footnotes"/>
  <Relationship Id="rId8" Target="media/7.jpeg" Type="http://schemas.openxmlformats.org/officeDocument/2006/relationships/image"/>
  <Relationship Id="rId7" Target="media/6.png" Type="http://schemas.openxmlformats.org/officeDocument/2006/relationships/image"/>
  <Relationship Id="rId14" Target="settings.xml" Type="http://schemas.openxmlformats.org/officeDocument/2006/relationships/settings"/>
  <Relationship Id="rId6" Target="media/5.jpeg" Type="http://schemas.openxmlformats.org/officeDocument/2006/relationships/image"/>
  <Relationship Id="rId5" Target="media/4.png" Type="http://schemas.openxmlformats.org/officeDocument/2006/relationships/image"/>
  <Relationship Id="rId4" Target="media/3.jpeg" Type="http://schemas.openxmlformats.org/officeDocument/2006/relationships/image"/>
  <Relationship Id="rId16" Target="stylesWithEffects.xml" Type="http://schemas.microsoft.com/office/2007/relationships/stylesWithEffects"/>
  <Relationship Id="rId12" Target="media/11.png" Type="http://schemas.openxmlformats.org/officeDocument/2006/relationships/image"/>
  <Relationship Id="rId3" Target="media/2.jpeg" Type="http://schemas.openxmlformats.org/officeDocument/2006/relationships/image"/>
  <Relationship Id="rId2" Target="media/1.jpeg" Type="http://schemas.openxmlformats.org/officeDocument/2006/relationships/image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2024-11-15T14:21:48Z</dcterms:modified>
</cp:coreProperties>
</file>